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04" w:rsidRDefault="00595B04" w:rsidP="00595B04">
      <w:pPr>
        <w:shd w:val="clear" w:color="auto" w:fill="FFFFFF"/>
        <w:spacing w:after="270" w:line="240" w:lineRule="auto"/>
        <w:ind w:firstLine="0"/>
        <w:contextualSpacing w:val="0"/>
        <w:textAlignment w:val="baseline"/>
        <w:rPr>
          <w:rStyle w:val="Strong"/>
          <w:rFonts w:ascii="Arial" w:eastAsiaTheme="majorEastAsia" w:hAnsi="Arial" w:cs="Arial"/>
          <w:color w:val="383838"/>
          <w:sz w:val="40"/>
          <w:szCs w:val="57"/>
          <w:bdr w:val="none" w:sz="0" w:space="0" w:color="auto" w:frame="1"/>
        </w:rPr>
      </w:pPr>
      <w:r w:rsidRPr="00595B04">
        <w:rPr>
          <w:rStyle w:val="Strong"/>
          <w:rFonts w:ascii="Arial" w:eastAsiaTheme="majorEastAsia" w:hAnsi="Arial" w:cs="Arial"/>
          <w:color w:val="383838"/>
          <w:sz w:val="40"/>
          <w:szCs w:val="57"/>
          <w:bdr w:val="none" w:sz="0" w:space="0" w:color="auto" w:frame="1"/>
        </w:rPr>
        <w:t>Pandemic bonds: The financial cure we need for </w:t>
      </w:r>
      <w:r w:rsidRPr="00595B04">
        <w:rPr>
          <w:rStyle w:val="nobr"/>
          <w:rFonts w:ascii="Arial" w:hAnsi="Arial" w:cs="Arial"/>
          <w:b/>
          <w:bCs/>
          <w:color w:val="383838"/>
          <w:sz w:val="40"/>
          <w:szCs w:val="57"/>
          <w:bdr w:val="none" w:sz="0" w:space="0" w:color="auto" w:frame="1"/>
        </w:rPr>
        <w:t>COVID-</w:t>
      </w:r>
      <w:proofErr w:type="gramStart"/>
      <w:r w:rsidRPr="00595B04">
        <w:rPr>
          <w:rStyle w:val="nobr"/>
          <w:rFonts w:ascii="Arial" w:hAnsi="Arial" w:cs="Arial"/>
          <w:b/>
          <w:bCs/>
          <w:color w:val="383838"/>
          <w:sz w:val="40"/>
          <w:szCs w:val="57"/>
          <w:bdr w:val="none" w:sz="0" w:space="0" w:color="auto" w:frame="1"/>
        </w:rPr>
        <w:t>19</w:t>
      </w:r>
      <w:r w:rsidRPr="00595B04">
        <w:rPr>
          <w:rStyle w:val="Strong"/>
          <w:rFonts w:ascii="Arial" w:eastAsiaTheme="majorEastAsia" w:hAnsi="Arial" w:cs="Arial"/>
          <w:color w:val="383838"/>
          <w:sz w:val="40"/>
          <w:szCs w:val="57"/>
          <w:bdr w:val="none" w:sz="0" w:space="0" w:color="auto" w:frame="1"/>
        </w:rPr>
        <w:t>?</w:t>
      </w:r>
      <w:proofErr w:type="gramEnd"/>
    </w:p>
    <w:p w:rsidR="00CE59B8" w:rsidRDefault="00CE59B8" w:rsidP="00CE59B8">
      <w:pPr>
        <w:shd w:val="clear" w:color="auto" w:fill="FFFFFF"/>
        <w:spacing w:after="270" w:line="240" w:lineRule="auto"/>
        <w:ind w:firstLine="0"/>
        <w:contextualSpacing w:val="0"/>
        <w:textAlignment w:val="baseline"/>
        <w:rPr>
          <w:rFonts w:ascii="Georgia" w:hAnsi="Georgia"/>
          <w:bCs/>
          <w:sz w:val="24"/>
          <w:szCs w:val="27"/>
          <w:lang w:val="en-CA" w:eastAsia="en-CA" w:bidi="ar-SA"/>
        </w:rPr>
      </w:pPr>
    </w:p>
    <w:p w:rsidR="00CE59B8" w:rsidRPr="00CE59B8" w:rsidRDefault="00CE59B8" w:rsidP="00CE59B8">
      <w:pPr>
        <w:shd w:val="clear" w:color="auto" w:fill="FFFFFF"/>
        <w:spacing w:line="240" w:lineRule="auto"/>
        <w:ind w:firstLine="0"/>
        <w:contextualSpacing w:val="0"/>
        <w:textAlignment w:val="baseline"/>
        <w:rPr>
          <w:rFonts w:ascii="Georgia" w:hAnsi="Georgia"/>
          <w:bCs/>
          <w:sz w:val="24"/>
          <w:szCs w:val="27"/>
          <w:lang w:val="en-CA" w:eastAsia="en-CA" w:bidi="ar-SA"/>
        </w:rPr>
      </w:pPr>
      <w:r w:rsidRPr="00CE59B8">
        <w:rPr>
          <w:rFonts w:ascii="Georgia" w:hAnsi="Georgia"/>
          <w:bCs/>
          <w:sz w:val="24"/>
          <w:szCs w:val="27"/>
          <w:lang w:val="en-CA" w:eastAsia="en-CA" w:bidi="ar-SA"/>
        </w:rPr>
        <w:t>Dror Etzion</w:t>
      </w:r>
      <w:r>
        <w:rPr>
          <w:rFonts w:ascii="Georgia" w:hAnsi="Georgia"/>
          <w:bCs/>
          <w:sz w:val="24"/>
          <w:szCs w:val="27"/>
          <w:lang w:val="en-CA" w:eastAsia="en-CA" w:bidi="ar-SA"/>
        </w:rPr>
        <w:t xml:space="preserve">, </w:t>
      </w:r>
      <w:r w:rsidRPr="00CE59B8">
        <w:rPr>
          <w:rFonts w:ascii="Georgia" w:hAnsi="Georgia"/>
          <w:bCs/>
          <w:sz w:val="24"/>
          <w:szCs w:val="27"/>
          <w:lang w:val="en-CA" w:eastAsia="en-CA" w:bidi="ar-SA"/>
        </w:rPr>
        <w:t>McGill University</w:t>
      </w:r>
    </w:p>
    <w:p w:rsidR="00CE59B8" w:rsidRPr="00CE59B8" w:rsidRDefault="00CE59B8" w:rsidP="00CE59B8">
      <w:pPr>
        <w:shd w:val="clear" w:color="auto" w:fill="FFFFFF"/>
        <w:spacing w:line="240" w:lineRule="auto"/>
        <w:ind w:firstLine="0"/>
        <w:contextualSpacing w:val="0"/>
        <w:textAlignment w:val="baseline"/>
        <w:rPr>
          <w:rFonts w:ascii="Georgia" w:hAnsi="Georgia"/>
          <w:bCs/>
          <w:sz w:val="24"/>
          <w:szCs w:val="27"/>
          <w:lang w:val="en-CA" w:eastAsia="en-CA" w:bidi="ar-SA"/>
        </w:rPr>
      </w:pPr>
      <w:r w:rsidRPr="00CE59B8">
        <w:rPr>
          <w:rFonts w:ascii="Georgia" w:hAnsi="Georgia"/>
          <w:bCs/>
          <w:sz w:val="24"/>
          <w:szCs w:val="27"/>
          <w:lang w:val="en-CA" w:eastAsia="en-CA" w:bidi="ar-SA"/>
        </w:rPr>
        <w:t>Bernard Forgues, EM Lyon</w:t>
      </w:r>
    </w:p>
    <w:p w:rsidR="00595B04" w:rsidRPr="00CE59B8" w:rsidRDefault="00CE59B8" w:rsidP="00CE59B8">
      <w:pPr>
        <w:shd w:val="clear" w:color="auto" w:fill="FFFFFF"/>
        <w:spacing w:line="240" w:lineRule="auto"/>
        <w:ind w:firstLine="0"/>
        <w:contextualSpacing w:val="0"/>
        <w:textAlignment w:val="baseline"/>
        <w:rPr>
          <w:rFonts w:ascii="Georgia" w:hAnsi="Georgia"/>
          <w:bCs/>
          <w:sz w:val="24"/>
          <w:szCs w:val="27"/>
          <w:lang w:val="en-CA" w:eastAsia="en-CA" w:bidi="ar-SA"/>
        </w:rPr>
      </w:pPr>
      <w:r w:rsidRPr="00CE59B8">
        <w:rPr>
          <w:rFonts w:ascii="Georgia" w:hAnsi="Georgia"/>
          <w:bCs/>
          <w:sz w:val="24"/>
          <w:szCs w:val="27"/>
          <w:lang w:val="en-CA" w:eastAsia="en-CA" w:bidi="ar-SA"/>
        </w:rPr>
        <w:t>Emmanuel Kypraios</w:t>
      </w:r>
      <w:bookmarkStart w:id="0" w:name="_GoBack"/>
      <w:bookmarkEnd w:id="0"/>
      <w:r w:rsidRPr="00CE59B8">
        <w:rPr>
          <w:rFonts w:ascii="Georgia" w:hAnsi="Georgia"/>
          <w:bCs/>
          <w:sz w:val="24"/>
          <w:szCs w:val="27"/>
          <w:lang w:val="en-CA" w:eastAsia="en-CA" w:bidi="ar-SA"/>
        </w:rPr>
        <w:t>, National University of Ireland Maynooth</w:t>
      </w:r>
    </w:p>
    <w:p w:rsidR="00CE59B8" w:rsidRDefault="00CE59B8" w:rsidP="00CE59B8">
      <w:pPr>
        <w:shd w:val="clear" w:color="auto" w:fill="FFFFFF"/>
        <w:spacing w:after="270" w:line="240" w:lineRule="auto"/>
        <w:ind w:firstLine="0"/>
        <w:contextualSpacing w:val="0"/>
        <w:textAlignment w:val="baseline"/>
        <w:rPr>
          <w:rFonts w:ascii="Georgia" w:hAnsi="Georgia"/>
          <w:b/>
          <w:bCs/>
          <w:sz w:val="27"/>
          <w:szCs w:val="27"/>
          <w:lang w:val="en-CA" w:eastAsia="en-CA" w:bidi="ar-SA"/>
        </w:rPr>
      </w:pPr>
    </w:p>
    <w:p w:rsidR="00CE59B8" w:rsidRPr="00CE59B8" w:rsidRDefault="00CE59B8" w:rsidP="00CE59B8">
      <w:pPr>
        <w:shd w:val="clear" w:color="auto" w:fill="FFFFFF"/>
        <w:spacing w:after="270" w:line="240" w:lineRule="auto"/>
        <w:ind w:firstLine="0"/>
        <w:contextualSpacing w:val="0"/>
        <w:textAlignment w:val="baseline"/>
        <w:rPr>
          <w:rFonts w:ascii="Georgia" w:hAnsi="Georgia"/>
          <w:b/>
          <w:bCs/>
          <w:sz w:val="27"/>
          <w:szCs w:val="27"/>
          <w:lang w:val="en-CA" w:eastAsia="en-CA" w:bidi="ar-SA"/>
        </w:rPr>
      </w:pP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Countries around the world </w:t>
      </w:r>
      <w:hyperlink r:id="rId7" w:history="1">
        <w:r w:rsidRPr="00595B04">
          <w:rPr>
            <w:rFonts w:ascii="Georgia" w:hAnsi="Georgia"/>
            <w:color w:val="555768"/>
            <w:sz w:val="27"/>
            <w:szCs w:val="27"/>
            <w:u w:val="single"/>
            <w:lang w:val="en-CA" w:eastAsia="en-CA" w:bidi="ar-SA"/>
          </w:rPr>
          <w:t>are taking unprecedented</w:t>
        </w:r>
      </w:hyperlink>
      <w:r w:rsidRPr="00595B04">
        <w:rPr>
          <w:rFonts w:ascii="Georgia" w:hAnsi="Georgia"/>
          <w:color w:val="383838"/>
          <w:sz w:val="27"/>
          <w:szCs w:val="27"/>
          <w:lang w:val="en-CA" w:eastAsia="en-CA" w:bidi="ar-SA"/>
        </w:rPr>
        <w:t xml:space="preserve"> action to stem financial collapse due to COVID-19. Governments are acting as insurers of last resort, providing liquidity to both individuals and corporations in </w:t>
      </w:r>
      <w:proofErr w:type="gramStart"/>
      <w:r w:rsidRPr="00595B04">
        <w:rPr>
          <w:rFonts w:ascii="Georgia" w:hAnsi="Georgia"/>
          <w:color w:val="383838"/>
          <w:sz w:val="27"/>
          <w:szCs w:val="27"/>
          <w:lang w:val="en-CA" w:eastAsia="en-CA" w:bidi="ar-SA"/>
        </w:rPr>
        <w:t>dire straits</w:t>
      </w:r>
      <w:proofErr w:type="gramEnd"/>
      <w:r w:rsidRPr="00595B04">
        <w:rPr>
          <w:rFonts w:ascii="Georgia" w:hAnsi="Georgia"/>
          <w:color w:val="383838"/>
          <w:sz w:val="27"/>
          <w:szCs w:val="27"/>
          <w:lang w:val="en-CA" w:eastAsia="en-CA" w:bidi="ar-SA"/>
        </w:rPr>
        <w:t>.</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 xml:space="preserve">In these perilous times, the insurance sector itself will also be paying out claims, whether </w:t>
      </w:r>
      <w:proofErr w:type="gramStart"/>
      <w:r w:rsidRPr="00595B04">
        <w:rPr>
          <w:rFonts w:ascii="Georgia" w:hAnsi="Georgia"/>
          <w:color w:val="383838"/>
          <w:sz w:val="27"/>
          <w:szCs w:val="27"/>
          <w:lang w:val="en-CA" w:eastAsia="en-CA" w:bidi="ar-SA"/>
        </w:rPr>
        <w:t>it’s</w:t>
      </w:r>
      <w:proofErr w:type="gramEnd"/>
      <w:r w:rsidRPr="00595B04">
        <w:rPr>
          <w:rFonts w:ascii="Georgia" w:hAnsi="Georgia"/>
          <w:color w:val="383838"/>
          <w:sz w:val="27"/>
          <w:szCs w:val="27"/>
          <w:lang w:val="en-CA" w:eastAsia="en-CA" w:bidi="ar-SA"/>
        </w:rPr>
        <w:t xml:space="preserve"> to people who have experienced damage to life or property or to businesses and even to sovereign countries.</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 xml:space="preserve">Insurance companies </w:t>
      </w:r>
      <w:proofErr w:type="gramStart"/>
      <w:r w:rsidRPr="00595B04">
        <w:rPr>
          <w:rFonts w:ascii="Georgia" w:hAnsi="Georgia"/>
          <w:color w:val="383838"/>
          <w:sz w:val="27"/>
          <w:szCs w:val="27"/>
          <w:lang w:val="en-CA" w:eastAsia="en-CA" w:bidi="ar-SA"/>
        </w:rPr>
        <w:t>are designed</w:t>
      </w:r>
      <w:proofErr w:type="gramEnd"/>
      <w:r w:rsidRPr="00595B04">
        <w:rPr>
          <w:rFonts w:ascii="Georgia" w:hAnsi="Georgia"/>
          <w:color w:val="383838"/>
          <w:sz w:val="27"/>
          <w:szCs w:val="27"/>
          <w:lang w:val="en-CA" w:eastAsia="en-CA" w:bidi="ar-SA"/>
        </w:rPr>
        <w:t xml:space="preserve"> to bring order and stability to precarious financial situations and they have </w:t>
      </w:r>
      <w:hyperlink r:id="rId8" w:history="1">
        <w:r w:rsidRPr="00595B04">
          <w:rPr>
            <w:rFonts w:ascii="Georgia" w:hAnsi="Georgia"/>
            <w:color w:val="555768"/>
            <w:sz w:val="27"/>
            <w:szCs w:val="27"/>
            <w:u w:val="single"/>
            <w:lang w:val="en-CA" w:eastAsia="en-CA" w:bidi="ar-SA"/>
          </w:rPr>
          <w:t>the wherewithal</w:t>
        </w:r>
      </w:hyperlink>
      <w:r w:rsidRPr="00595B04">
        <w:rPr>
          <w:rFonts w:ascii="Georgia" w:hAnsi="Georgia"/>
          <w:color w:val="383838"/>
          <w:sz w:val="27"/>
          <w:szCs w:val="27"/>
          <w:lang w:val="en-CA" w:eastAsia="en-CA" w:bidi="ar-SA"/>
        </w:rPr>
        <w:t> to do so.</w:t>
      </w:r>
    </w:p>
    <w:p w:rsidR="00595B04" w:rsidRPr="00595B04" w:rsidRDefault="00595B04" w:rsidP="00595B04">
      <w:pPr>
        <w:shd w:val="clear" w:color="auto" w:fill="FFFFFF"/>
        <w:spacing w:after="180" w:line="240" w:lineRule="auto"/>
        <w:ind w:firstLine="0"/>
        <w:contextualSpacing w:val="0"/>
        <w:textAlignment w:val="baseline"/>
        <w:outlineLvl w:val="1"/>
        <w:rPr>
          <w:rFonts w:ascii="Georgia" w:hAnsi="Georgia"/>
          <w:b/>
          <w:bCs/>
          <w:color w:val="383838"/>
          <w:sz w:val="35"/>
          <w:szCs w:val="35"/>
          <w:lang w:val="en-CA" w:eastAsia="en-CA" w:bidi="ar-SA"/>
        </w:rPr>
      </w:pPr>
      <w:r w:rsidRPr="00595B04">
        <w:rPr>
          <w:rFonts w:ascii="Georgia" w:hAnsi="Georgia"/>
          <w:b/>
          <w:bCs/>
          <w:color w:val="383838"/>
          <w:sz w:val="35"/>
          <w:szCs w:val="35"/>
          <w:lang w:val="en-CA" w:eastAsia="en-CA" w:bidi="ar-SA"/>
        </w:rPr>
        <w:t>Catastrophe bonds</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Like other financial players that have </w:t>
      </w:r>
      <w:hyperlink r:id="rId9" w:history="1">
        <w:r w:rsidRPr="00595B04">
          <w:rPr>
            <w:rFonts w:ascii="Georgia" w:hAnsi="Georgia"/>
            <w:color w:val="555768"/>
            <w:sz w:val="27"/>
            <w:szCs w:val="27"/>
            <w:u w:val="single"/>
            <w:lang w:val="en-CA" w:eastAsia="en-CA" w:bidi="ar-SA"/>
          </w:rPr>
          <w:t>embraced innovation</w:t>
        </w:r>
      </w:hyperlink>
      <w:r w:rsidRPr="00595B04">
        <w:rPr>
          <w:rFonts w:ascii="Georgia" w:hAnsi="Georgia"/>
          <w:color w:val="383838"/>
          <w:sz w:val="27"/>
          <w:szCs w:val="27"/>
          <w:lang w:val="en-CA" w:eastAsia="en-CA" w:bidi="ar-SA"/>
        </w:rPr>
        <w:t> in recent years, insurers too have developed novel tools and products. One such innovation is </w:t>
      </w:r>
      <w:hyperlink r:id="rId10" w:history="1">
        <w:r w:rsidRPr="00595B04">
          <w:rPr>
            <w:rFonts w:ascii="Georgia" w:hAnsi="Georgia"/>
            <w:color w:val="555768"/>
            <w:sz w:val="27"/>
            <w:szCs w:val="27"/>
            <w:u w:val="single"/>
            <w:lang w:val="en-CA" w:eastAsia="en-CA" w:bidi="ar-SA"/>
          </w:rPr>
          <w:t>catastrophe bonds</w:t>
        </w:r>
      </w:hyperlink>
      <w:r w:rsidRPr="00595B04">
        <w:rPr>
          <w:rFonts w:ascii="Georgia" w:hAnsi="Georgia"/>
          <w:color w:val="383838"/>
          <w:sz w:val="27"/>
          <w:szCs w:val="27"/>
          <w:lang w:val="en-CA" w:eastAsia="en-CA" w:bidi="ar-SA"/>
        </w:rPr>
        <w:t>.</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A catastrophe bond provides the issuer (usually either an insurer </w:t>
      </w:r>
      <w:hyperlink r:id="rId11" w:history="1">
        <w:r w:rsidRPr="00595B04">
          <w:rPr>
            <w:rFonts w:ascii="Georgia" w:hAnsi="Georgia"/>
            <w:color w:val="555768"/>
            <w:sz w:val="27"/>
            <w:szCs w:val="27"/>
            <w:u w:val="single"/>
            <w:lang w:val="en-CA" w:eastAsia="en-CA" w:bidi="ar-SA"/>
          </w:rPr>
          <w:t>or a reinsurer</w:t>
        </w:r>
      </w:hyperlink>
      <w:r w:rsidRPr="00595B04">
        <w:rPr>
          <w:rFonts w:ascii="Georgia" w:hAnsi="Georgia"/>
          <w:color w:val="383838"/>
          <w:sz w:val="27"/>
          <w:szCs w:val="27"/>
          <w:lang w:val="en-CA" w:eastAsia="en-CA" w:bidi="ar-SA"/>
        </w:rPr>
        <w:t>) with financial protection in case of a major catastrophe. Most catastrophe bonds cover extreme natural events such as hurricanes or earthquakes, but some bonds cover pandemics like the one the world is facing now.</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In effect, when employing catastrophe bonds, insurers can access capital from large asset owners such as </w:t>
      </w:r>
      <w:hyperlink r:id="rId12" w:history="1">
        <w:r w:rsidRPr="00595B04">
          <w:rPr>
            <w:rFonts w:ascii="Georgia" w:hAnsi="Georgia"/>
            <w:color w:val="555768"/>
            <w:sz w:val="27"/>
            <w:szCs w:val="27"/>
            <w:u w:val="single"/>
            <w:lang w:val="en-CA" w:eastAsia="en-CA" w:bidi="ar-SA"/>
          </w:rPr>
          <w:t>pension funds</w:t>
        </w:r>
      </w:hyperlink>
      <w:r w:rsidRPr="00595B04">
        <w:rPr>
          <w:rFonts w:ascii="Georgia" w:hAnsi="Georgia"/>
          <w:color w:val="383838"/>
          <w:sz w:val="27"/>
          <w:szCs w:val="27"/>
          <w:lang w:val="en-CA" w:eastAsia="en-CA" w:bidi="ar-SA"/>
        </w:rPr>
        <w:t> and other institutional investors. Insurers need this extra layer of protection for themselves, because catastrophes typically hit a region very abruptly.</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lastRenderedPageBreak/>
        <w:t xml:space="preserve">This means that when a major disaster strikes, large amounts of money need to </w:t>
      </w:r>
      <w:proofErr w:type="gramStart"/>
      <w:r w:rsidRPr="00595B04">
        <w:rPr>
          <w:rFonts w:ascii="Georgia" w:hAnsi="Georgia"/>
          <w:color w:val="383838"/>
          <w:sz w:val="27"/>
          <w:szCs w:val="27"/>
          <w:lang w:val="en-CA" w:eastAsia="en-CA" w:bidi="ar-SA"/>
        </w:rPr>
        <w:t>be disbursed</w:t>
      </w:r>
      <w:proofErr w:type="gramEnd"/>
      <w:r w:rsidRPr="00595B04">
        <w:rPr>
          <w:rFonts w:ascii="Georgia" w:hAnsi="Georgia"/>
          <w:color w:val="383838"/>
          <w:sz w:val="27"/>
          <w:szCs w:val="27"/>
          <w:lang w:val="en-CA" w:eastAsia="en-CA" w:bidi="ar-SA"/>
        </w:rPr>
        <w:t xml:space="preserve"> suddenly, threatening the insurer with insolvency. Asset owners are willing to provide this coverage — for a premium, </w:t>
      </w:r>
      <w:hyperlink r:id="rId13" w:history="1">
        <w:r w:rsidRPr="00595B04">
          <w:rPr>
            <w:rFonts w:ascii="Georgia" w:hAnsi="Georgia"/>
            <w:color w:val="555768"/>
            <w:sz w:val="27"/>
            <w:szCs w:val="27"/>
            <w:u w:val="single"/>
            <w:lang w:val="en-CA" w:eastAsia="en-CA" w:bidi="ar-SA"/>
          </w:rPr>
          <w:t>often hefty</w:t>
        </w:r>
      </w:hyperlink>
      <w:r w:rsidRPr="00595B04">
        <w:rPr>
          <w:rFonts w:ascii="Georgia" w:hAnsi="Georgia"/>
          <w:color w:val="383838"/>
          <w:sz w:val="27"/>
          <w:szCs w:val="27"/>
          <w:lang w:val="en-CA" w:eastAsia="en-CA" w:bidi="ar-SA"/>
        </w:rPr>
        <w:t> — because it can be an effective diversification strategy: earthquakes, hurricanes and pandemics are essentially unrelated to global economic trends.</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Catastrophe bonds are very specific in terms of the coverage they provide. Like other insurance products, they are binding contracts that specify exactly what perils are covered and when the funds are released or “triggered.”</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For instance, </w:t>
      </w:r>
      <w:hyperlink r:id="rId14" w:history="1">
        <w:r w:rsidRPr="00595B04">
          <w:rPr>
            <w:rFonts w:ascii="Georgia" w:hAnsi="Georgia"/>
            <w:color w:val="555768"/>
            <w:sz w:val="27"/>
            <w:szCs w:val="27"/>
            <w:u w:val="single"/>
            <w:lang w:val="en-CA" w:eastAsia="en-CA" w:bidi="ar-SA"/>
          </w:rPr>
          <w:t xml:space="preserve">a catastrophe bond </w:t>
        </w:r>
        <w:proofErr w:type="gramStart"/>
        <w:r w:rsidRPr="00595B04">
          <w:rPr>
            <w:rFonts w:ascii="Georgia" w:hAnsi="Georgia"/>
            <w:color w:val="555768"/>
            <w:sz w:val="27"/>
            <w:szCs w:val="27"/>
            <w:u w:val="single"/>
            <w:lang w:val="en-CA" w:eastAsia="en-CA" w:bidi="ar-SA"/>
          </w:rPr>
          <w:t>can be triggered</w:t>
        </w:r>
        <w:proofErr w:type="gramEnd"/>
        <w:r w:rsidRPr="00595B04">
          <w:rPr>
            <w:rFonts w:ascii="Georgia" w:hAnsi="Georgia"/>
            <w:color w:val="555768"/>
            <w:sz w:val="27"/>
            <w:szCs w:val="27"/>
            <w:u w:val="single"/>
            <w:lang w:val="en-CA" w:eastAsia="en-CA" w:bidi="ar-SA"/>
          </w:rPr>
          <w:t xml:space="preserve"> if an earthquake of a certain magnitude occurs in a specific region on the U.S. West Coast within three years</w:t>
        </w:r>
      </w:hyperlink>
      <w:r w:rsidRPr="00595B04">
        <w:rPr>
          <w:rFonts w:ascii="Georgia" w:hAnsi="Georgia"/>
          <w:color w:val="383838"/>
          <w:sz w:val="27"/>
          <w:szCs w:val="27"/>
          <w:lang w:val="en-CA" w:eastAsia="en-CA" w:bidi="ar-SA"/>
        </w:rPr>
        <w:t>.</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 xml:space="preserve">Alternatively, a bond </w:t>
      </w:r>
      <w:proofErr w:type="gramStart"/>
      <w:r w:rsidRPr="00595B04">
        <w:rPr>
          <w:rFonts w:ascii="Georgia" w:hAnsi="Georgia"/>
          <w:color w:val="383838"/>
          <w:sz w:val="27"/>
          <w:szCs w:val="27"/>
          <w:lang w:val="en-CA" w:eastAsia="en-CA" w:bidi="ar-SA"/>
        </w:rPr>
        <w:t>might be triggered</w:t>
      </w:r>
      <w:proofErr w:type="gramEnd"/>
      <w:r w:rsidRPr="00595B04">
        <w:rPr>
          <w:rFonts w:ascii="Georgia" w:hAnsi="Georgia"/>
          <w:color w:val="383838"/>
          <w:sz w:val="27"/>
          <w:szCs w:val="27"/>
          <w:lang w:val="en-CA" w:eastAsia="en-CA" w:bidi="ar-SA"/>
        </w:rPr>
        <w:t xml:space="preserve"> to recoup some of the insurance payouts following the catastrophe, but only if they </w:t>
      </w:r>
      <w:hyperlink r:id="rId15" w:history="1">
        <w:r w:rsidRPr="00595B04">
          <w:rPr>
            <w:rFonts w:ascii="Georgia" w:hAnsi="Georgia"/>
            <w:color w:val="555768"/>
            <w:sz w:val="27"/>
            <w:szCs w:val="27"/>
            <w:u w:val="single"/>
            <w:lang w:val="en-CA" w:eastAsia="en-CA" w:bidi="ar-SA"/>
          </w:rPr>
          <w:t>exceed a certain pre-defined dollar threshold</w:t>
        </w:r>
      </w:hyperlink>
      <w:r w:rsidRPr="00595B04">
        <w:rPr>
          <w:rFonts w:ascii="Georgia" w:hAnsi="Georgia"/>
          <w:color w:val="383838"/>
          <w:sz w:val="27"/>
          <w:szCs w:val="27"/>
          <w:lang w:val="en-CA" w:eastAsia="en-CA" w:bidi="ar-SA"/>
        </w:rPr>
        <w:t>. As in regular reinsurance, catastrophe bonds provide payouts </w:t>
      </w:r>
      <w:hyperlink r:id="rId16" w:history="1">
        <w:r w:rsidRPr="00595B04">
          <w:rPr>
            <w:rFonts w:ascii="Georgia" w:hAnsi="Georgia"/>
            <w:color w:val="555768"/>
            <w:sz w:val="27"/>
            <w:szCs w:val="27"/>
            <w:u w:val="single"/>
            <w:lang w:val="en-CA" w:eastAsia="en-CA" w:bidi="ar-SA"/>
          </w:rPr>
          <w:t>in tranches</w:t>
        </w:r>
      </w:hyperlink>
      <w:r w:rsidRPr="00595B04">
        <w:rPr>
          <w:rFonts w:ascii="Georgia" w:hAnsi="Georgia"/>
          <w:color w:val="383838"/>
          <w:sz w:val="27"/>
          <w:szCs w:val="27"/>
          <w:lang w:val="en-CA" w:eastAsia="en-CA" w:bidi="ar-SA"/>
        </w:rPr>
        <w:t>, for example to cover the losses incurred by the issuer after the first $2 billion in losses, up until $2.3 billion in losses, following a specific extreme event.</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To date, 1,069 distinct bonds within </w:t>
      </w:r>
      <w:hyperlink r:id="rId17" w:history="1">
        <w:r w:rsidRPr="00595B04">
          <w:rPr>
            <w:rFonts w:ascii="Georgia" w:hAnsi="Georgia"/>
            <w:color w:val="555768"/>
            <w:sz w:val="27"/>
            <w:szCs w:val="27"/>
            <w:u w:val="single"/>
            <w:lang w:val="en-CA" w:eastAsia="en-CA" w:bidi="ar-SA"/>
          </w:rPr>
          <w:t xml:space="preserve">648 offerings </w:t>
        </w:r>
        <w:proofErr w:type="gramStart"/>
        <w:r w:rsidRPr="00595B04">
          <w:rPr>
            <w:rFonts w:ascii="Georgia" w:hAnsi="Georgia"/>
            <w:color w:val="555768"/>
            <w:sz w:val="27"/>
            <w:szCs w:val="27"/>
            <w:u w:val="single"/>
            <w:lang w:val="en-CA" w:eastAsia="en-CA" w:bidi="ar-SA"/>
          </w:rPr>
          <w:t>have been issued</w:t>
        </w:r>
        <w:proofErr w:type="gramEnd"/>
      </w:hyperlink>
      <w:r w:rsidRPr="00595B04">
        <w:rPr>
          <w:rFonts w:ascii="Georgia" w:hAnsi="Georgia"/>
          <w:color w:val="383838"/>
          <w:sz w:val="27"/>
          <w:szCs w:val="27"/>
          <w:lang w:val="en-CA" w:eastAsia="en-CA" w:bidi="ar-SA"/>
        </w:rPr>
        <w:t> since the first one in 1997.</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 xml:space="preserve">The first pandemic bond </w:t>
      </w:r>
      <w:proofErr w:type="gramStart"/>
      <w:r w:rsidRPr="00595B04">
        <w:rPr>
          <w:rFonts w:ascii="Georgia" w:hAnsi="Georgia"/>
          <w:color w:val="383838"/>
          <w:sz w:val="27"/>
          <w:szCs w:val="27"/>
          <w:lang w:val="en-CA" w:eastAsia="en-CA" w:bidi="ar-SA"/>
        </w:rPr>
        <w:t>was issued</w:t>
      </w:r>
      <w:proofErr w:type="gramEnd"/>
      <w:r w:rsidRPr="00595B04">
        <w:rPr>
          <w:rFonts w:ascii="Georgia" w:hAnsi="Georgia"/>
          <w:color w:val="383838"/>
          <w:sz w:val="27"/>
          <w:szCs w:val="27"/>
          <w:lang w:val="en-CA" w:eastAsia="en-CA" w:bidi="ar-SA"/>
        </w:rPr>
        <w:t xml:space="preserve"> in 2003, when Swiss Re floated a </w:t>
      </w:r>
      <w:hyperlink r:id="rId18" w:history="1">
        <w:r w:rsidRPr="00595B04">
          <w:rPr>
            <w:rFonts w:ascii="Georgia" w:hAnsi="Georgia"/>
            <w:color w:val="555768"/>
            <w:sz w:val="27"/>
            <w:szCs w:val="27"/>
            <w:u w:val="single"/>
            <w:lang w:val="en-CA" w:eastAsia="en-CA" w:bidi="ar-SA"/>
          </w:rPr>
          <w:t>US$400 million offering</w:t>
        </w:r>
      </w:hyperlink>
      <w:r w:rsidRPr="00595B04">
        <w:rPr>
          <w:rFonts w:ascii="Georgia" w:hAnsi="Georgia"/>
          <w:color w:val="383838"/>
          <w:sz w:val="27"/>
          <w:szCs w:val="27"/>
          <w:lang w:val="en-CA" w:eastAsia="en-CA" w:bidi="ar-SA"/>
        </w:rPr>
        <w:t> to provide coverage against extreme mortality events such as war, terrorism, pandemics or nuclear attack.</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The bond would trigger if the mortality index (which measures annual general mortality in five countries, the U.S., the United Kingdom, France, Switzerland and Italy) exceeded 130 per cent of its baseline due to any of these scenarios.</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 xml:space="preserve">Since then, </w:t>
      </w:r>
      <w:proofErr w:type="gramStart"/>
      <w:r w:rsidRPr="00595B04">
        <w:rPr>
          <w:rFonts w:ascii="Georgia" w:hAnsi="Georgia"/>
          <w:color w:val="383838"/>
          <w:sz w:val="27"/>
          <w:szCs w:val="27"/>
          <w:lang w:val="en-CA" w:eastAsia="en-CA" w:bidi="ar-SA"/>
        </w:rPr>
        <w:t>a total of 27</w:t>
      </w:r>
      <w:proofErr w:type="gramEnd"/>
      <w:r w:rsidRPr="00595B04">
        <w:rPr>
          <w:rFonts w:ascii="Georgia" w:hAnsi="Georgia"/>
          <w:color w:val="383838"/>
          <w:sz w:val="27"/>
          <w:szCs w:val="27"/>
          <w:lang w:val="en-CA" w:eastAsia="en-CA" w:bidi="ar-SA"/>
        </w:rPr>
        <w:t xml:space="preserve"> additional catastrophe bonds have been issued with a pandemic component. To date, none of them </w:t>
      </w:r>
      <w:proofErr w:type="gramStart"/>
      <w:r w:rsidRPr="00595B04">
        <w:rPr>
          <w:rFonts w:ascii="Georgia" w:hAnsi="Georgia"/>
          <w:color w:val="383838"/>
          <w:sz w:val="27"/>
          <w:szCs w:val="27"/>
          <w:lang w:val="en-CA" w:eastAsia="en-CA" w:bidi="ar-SA"/>
        </w:rPr>
        <w:t>have</w:t>
      </w:r>
      <w:proofErr w:type="gramEnd"/>
      <w:r w:rsidRPr="00595B04">
        <w:rPr>
          <w:rFonts w:ascii="Georgia" w:hAnsi="Georgia"/>
          <w:color w:val="383838"/>
          <w:sz w:val="27"/>
          <w:szCs w:val="27"/>
          <w:lang w:val="en-CA" w:eastAsia="en-CA" w:bidi="ar-SA"/>
        </w:rPr>
        <w:t xml:space="preserve"> been triggered.</w:t>
      </w:r>
    </w:p>
    <w:p w:rsidR="00595B04" w:rsidRPr="00595B04" w:rsidRDefault="00595B04" w:rsidP="00595B04">
      <w:pPr>
        <w:shd w:val="clear" w:color="auto" w:fill="FFFFFF"/>
        <w:spacing w:after="180" w:line="240" w:lineRule="auto"/>
        <w:ind w:firstLine="0"/>
        <w:contextualSpacing w:val="0"/>
        <w:textAlignment w:val="baseline"/>
        <w:outlineLvl w:val="1"/>
        <w:rPr>
          <w:rFonts w:ascii="Georgia" w:hAnsi="Georgia"/>
          <w:b/>
          <w:bCs/>
          <w:color w:val="383838"/>
          <w:sz w:val="35"/>
          <w:szCs w:val="35"/>
          <w:lang w:val="en-CA" w:eastAsia="en-CA" w:bidi="ar-SA"/>
        </w:rPr>
      </w:pPr>
      <w:r w:rsidRPr="00595B04">
        <w:rPr>
          <w:rFonts w:ascii="Georgia" w:hAnsi="Georgia"/>
          <w:b/>
          <w:bCs/>
          <w:color w:val="383838"/>
          <w:sz w:val="35"/>
          <w:szCs w:val="35"/>
          <w:lang w:val="en-CA" w:eastAsia="en-CA" w:bidi="ar-SA"/>
        </w:rPr>
        <w:t>Who benefits when catastrophe strikes?</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The use of catastrophe bonds, perhaps unsurprisingly, is controversial. One critique emphasizes </w:t>
      </w:r>
      <w:hyperlink r:id="rId19" w:history="1">
        <w:r w:rsidRPr="00595B04">
          <w:rPr>
            <w:rFonts w:ascii="Georgia" w:hAnsi="Georgia"/>
            <w:color w:val="555768"/>
            <w:sz w:val="27"/>
            <w:szCs w:val="27"/>
            <w:u w:val="single"/>
            <w:lang w:val="en-CA" w:eastAsia="en-CA" w:bidi="ar-SA"/>
          </w:rPr>
          <w:t>the huge uncertainty inherent in attempting to quantify what are, by definition, very rare, unpredictable events</w:t>
        </w:r>
      </w:hyperlink>
      <w:r w:rsidRPr="00595B04">
        <w:rPr>
          <w:rFonts w:ascii="Georgia" w:hAnsi="Georgia"/>
          <w:color w:val="383838"/>
          <w:sz w:val="27"/>
          <w:szCs w:val="27"/>
          <w:lang w:val="en-CA" w:eastAsia="en-CA" w:bidi="ar-SA"/>
        </w:rPr>
        <w:t>.</w:t>
      </w:r>
    </w:p>
    <w:p w:rsidR="00595B04" w:rsidRPr="00595B04" w:rsidRDefault="00446A79"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hyperlink r:id="rId20" w:history="1">
        <w:r w:rsidR="00595B04" w:rsidRPr="00595B04">
          <w:rPr>
            <w:rFonts w:ascii="Georgia" w:hAnsi="Georgia"/>
            <w:color w:val="555768"/>
            <w:sz w:val="27"/>
            <w:szCs w:val="27"/>
            <w:u w:val="single"/>
            <w:lang w:val="en-CA" w:eastAsia="en-CA" w:bidi="ar-SA"/>
          </w:rPr>
          <w:t>Others have noted that catastrophe modelling</w:t>
        </w:r>
      </w:hyperlink>
      <w:r w:rsidR="00595B04" w:rsidRPr="00595B04">
        <w:rPr>
          <w:rFonts w:ascii="Georgia" w:hAnsi="Georgia"/>
          <w:color w:val="383838"/>
          <w:sz w:val="27"/>
          <w:szCs w:val="27"/>
          <w:lang w:val="en-CA" w:eastAsia="en-CA" w:bidi="ar-SA"/>
        </w:rPr>
        <w:t xml:space="preserve"> is problematic in that it </w:t>
      </w:r>
      <w:proofErr w:type="gramStart"/>
      <w:r w:rsidR="00595B04" w:rsidRPr="00595B04">
        <w:rPr>
          <w:rFonts w:ascii="Georgia" w:hAnsi="Georgia"/>
          <w:color w:val="383838"/>
          <w:sz w:val="27"/>
          <w:szCs w:val="27"/>
          <w:lang w:val="en-CA" w:eastAsia="en-CA" w:bidi="ar-SA"/>
        </w:rPr>
        <w:t>harnesses</w:t>
      </w:r>
      <w:proofErr w:type="gramEnd"/>
      <w:r w:rsidR="00595B04" w:rsidRPr="00595B04">
        <w:rPr>
          <w:rFonts w:ascii="Georgia" w:hAnsi="Georgia"/>
          <w:color w:val="383838"/>
          <w:sz w:val="27"/>
          <w:szCs w:val="27"/>
          <w:lang w:val="en-CA" w:eastAsia="en-CA" w:bidi="ar-SA"/>
        </w:rPr>
        <w:t xml:space="preserve"> tacit knowledge shared within closed, opaque communities. In our </w:t>
      </w:r>
      <w:r w:rsidR="00595B04" w:rsidRPr="00595B04">
        <w:rPr>
          <w:rFonts w:ascii="Georgia" w:hAnsi="Georgia"/>
          <w:color w:val="383838"/>
          <w:sz w:val="27"/>
          <w:szCs w:val="27"/>
          <w:lang w:val="en-CA" w:eastAsia="en-CA" w:bidi="ar-SA"/>
        </w:rPr>
        <w:lastRenderedPageBreak/>
        <w:t xml:space="preserve">research, we discovered that catastrophe models </w:t>
      </w:r>
      <w:proofErr w:type="gramStart"/>
      <w:r w:rsidR="00595B04" w:rsidRPr="00595B04">
        <w:rPr>
          <w:rFonts w:ascii="Georgia" w:hAnsi="Georgia"/>
          <w:color w:val="383838"/>
          <w:sz w:val="27"/>
          <w:szCs w:val="27"/>
          <w:lang w:val="en-CA" w:eastAsia="en-CA" w:bidi="ar-SA"/>
        </w:rPr>
        <w:t>don’t</w:t>
      </w:r>
      <w:proofErr w:type="gramEnd"/>
      <w:r w:rsidR="00595B04" w:rsidRPr="00595B04">
        <w:rPr>
          <w:rFonts w:ascii="Georgia" w:hAnsi="Georgia"/>
          <w:color w:val="383838"/>
          <w:sz w:val="27"/>
          <w:szCs w:val="27"/>
          <w:lang w:val="en-CA" w:eastAsia="en-CA" w:bidi="ar-SA"/>
        </w:rPr>
        <w:t xml:space="preserve"> function any better than guesswork, and </w:t>
      </w:r>
      <w:hyperlink r:id="rId21" w:history="1">
        <w:r w:rsidR="00595B04" w:rsidRPr="00595B04">
          <w:rPr>
            <w:rFonts w:ascii="Georgia" w:hAnsi="Georgia"/>
            <w:color w:val="555768"/>
            <w:sz w:val="27"/>
            <w:szCs w:val="27"/>
            <w:u w:val="single"/>
            <w:lang w:val="en-CA" w:eastAsia="en-CA" w:bidi="ar-SA"/>
          </w:rPr>
          <w:t>seem to have become popular mainly because of the absence of high-return options in more traditional stocks and corporate bonds</w:t>
        </w:r>
      </w:hyperlink>
      <w:r w:rsidR="00595B04" w:rsidRPr="00595B04">
        <w:rPr>
          <w:rFonts w:ascii="Georgia" w:hAnsi="Georgia"/>
          <w:color w:val="383838"/>
          <w:sz w:val="27"/>
          <w:szCs w:val="27"/>
          <w:lang w:val="en-CA" w:eastAsia="en-CA" w:bidi="ar-SA"/>
        </w:rPr>
        <w:t>.</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This controversy seems to be especially acute for pandemic bonds. For example, opining about the latest bond with a pandemic component — the Pandemic Emergency Financing Facility (PEF) sponsored by the World Bank — Lawrence Summers, the former U.S. treasury secretary, went so far as to </w:t>
      </w:r>
      <w:hyperlink r:id="rId22" w:history="1">
        <w:r w:rsidRPr="00595B04">
          <w:rPr>
            <w:rFonts w:ascii="Georgia" w:hAnsi="Georgia"/>
            <w:color w:val="555768"/>
            <w:sz w:val="27"/>
            <w:szCs w:val="27"/>
            <w:u w:val="single"/>
            <w:lang w:val="en-CA" w:eastAsia="en-CA" w:bidi="ar-SA"/>
          </w:rPr>
          <w:t>call it is “goofy”</w:t>
        </w:r>
      </w:hyperlink>
      <w:r w:rsidRPr="00595B04">
        <w:rPr>
          <w:rFonts w:ascii="Georgia" w:hAnsi="Georgia"/>
          <w:color w:val="383838"/>
          <w:sz w:val="27"/>
          <w:szCs w:val="27"/>
          <w:lang w:val="en-CA" w:eastAsia="en-CA" w:bidi="ar-SA"/>
        </w:rPr>
        <w:t> and an “embarrassing mistake.” After reading the </w:t>
      </w:r>
      <w:hyperlink r:id="rId23" w:history="1">
        <w:r w:rsidRPr="00595B04">
          <w:rPr>
            <w:rFonts w:ascii="Georgia" w:hAnsi="Georgia"/>
            <w:color w:val="555768"/>
            <w:sz w:val="27"/>
            <w:szCs w:val="27"/>
            <w:u w:val="single"/>
            <w:lang w:val="en-CA" w:eastAsia="en-CA" w:bidi="ar-SA"/>
          </w:rPr>
          <w:t>386-page prospectus</w:t>
        </w:r>
      </w:hyperlink>
      <w:r w:rsidRPr="00595B04">
        <w:rPr>
          <w:rFonts w:ascii="Georgia" w:hAnsi="Georgia"/>
          <w:color w:val="383838"/>
          <w:sz w:val="27"/>
          <w:szCs w:val="27"/>
          <w:lang w:val="en-CA" w:eastAsia="en-CA" w:bidi="ar-SA"/>
        </w:rPr>
        <w:t>, we agree.</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proofErr w:type="gramStart"/>
      <w:r w:rsidRPr="00595B04">
        <w:rPr>
          <w:rFonts w:ascii="Georgia" w:hAnsi="Georgia"/>
          <w:color w:val="383838"/>
          <w:sz w:val="27"/>
          <w:szCs w:val="27"/>
          <w:lang w:val="en-CA" w:eastAsia="en-CA" w:bidi="ar-SA"/>
        </w:rPr>
        <w:t>That’s</w:t>
      </w:r>
      <w:proofErr w:type="gramEnd"/>
      <w:r w:rsidRPr="00595B04">
        <w:rPr>
          <w:rFonts w:ascii="Georgia" w:hAnsi="Georgia"/>
          <w:color w:val="383838"/>
          <w:sz w:val="27"/>
          <w:szCs w:val="27"/>
          <w:lang w:val="en-CA" w:eastAsia="en-CA" w:bidi="ar-SA"/>
        </w:rPr>
        <w:t xml:space="preserve"> because, from a public welfare perspective — as we are all learning now — the speediness of response </w:t>
      </w:r>
      <w:hyperlink r:id="rId24" w:history="1">
        <w:r w:rsidRPr="00595B04">
          <w:rPr>
            <w:rFonts w:ascii="Georgia" w:hAnsi="Georgia"/>
            <w:color w:val="555768"/>
            <w:sz w:val="27"/>
            <w:szCs w:val="27"/>
            <w:u w:val="single"/>
            <w:lang w:val="en-CA" w:eastAsia="en-CA" w:bidi="ar-SA"/>
          </w:rPr>
          <w:t>is crucial</w:t>
        </w:r>
      </w:hyperlink>
      <w:r w:rsidRPr="00595B04">
        <w:rPr>
          <w:rFonts w:ascii="Georgia" w:hAnsi="Georgia"/>
          <w:color w:val="383838"/>
          <w:sz w:val="27"/>
          <w:szCs w:val="27"/>
          <w:lang w:val="en-CA" w:eastAsia="en-CA" w:bidi="ar-SA"/>
        </w:rPr>
        <w:t>. The PEF states clearly in the prospectus that its purpose is “to help prevent rare, high-severity disease outbreaks from becoming pandemics.” This means that it should trigger and pay out before a disease like COVID-19 becomes a pandemic, not after.</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 xml:space="preserve">In conclusion, some healthy skepticism </w:t>
      </w:r>
      <w:proofErr w:type="gramStart"/>
      <w:r w:rsidRPr="00595B04">
        <w:rPr>
          <w:rFonts w:ascii="Georgia" w:hAnsi="Georgia"/>
          <w:color w:val="383838"/>
          <w:sz w:val="27"/>
          <w:szCs w:val="27"/>
          <w:lang w:val="en-CA" w:eastAsia="en-CA" w:bidi="ar-SA"/>
        </w:rPr>
        <w:t>is warranted</w:t>
      </w:r>
      <w:proofErr w:type="gramEnd"/>
      <w:r w:rsidRPr="00595B04">
        <w:rPr>
          <w:rFonts w:ascii="Georgia" w:hAnsi="Georgia"/>
          <w:color w:val="383838"/>
          <w:sz w:val="27"/>
          <w:szCs w:val="27"/>
          <w:lang w:val="en-CA" w:eastAsia="en-CA" w:bidi="ar-SA"/>
        </w:rPr>
        <w:t xml:space="preserve"> when considering the social value of catastrophe bonds.</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 xml:space="preserve">Conceptually, they can be a useful financial tool, but the devil is in the details: What exactly </w:t>
      </w:r>
      <w:proofErr w:type="gramStart"/>
      <w:r w:rsidRPr="00595B04">
        <w:rPr>
          <w:rFonts w:ascii="Georgia" w:hAnsi="Georgia"/>
          <w:color w:val="383838"/>
          <w:sz w:val="27"/>
          <w:szCs w:val="27"/>
          <w:lang w:val="en-CA" w:eastAsia="en-CA" w:bidi="ar-SA"/>
        </w:rPr>
        <w:t>is written</w:t>
      </w:r>
      <w:proofErr w:type="gramEnd"/>
      <w:r w:rsidRPr="00595B04">
        <w:rPr>
          <w:rFonts w:ascii="Georgia" w:hAnsi="Georgia"/>
          <w:color w:val="383838"/>
          <w:sz w:val="27"/>
          <w:szCs w:val="27"/>
          <w:lang w:val="en-CA" w:eastAsia="en-CA" w:bidi="ar-SA"/>
        </w:rPr>
        <w:t xml:space="preserve"> in the fine print? How accurately </w:t>
      </w:r>
      <w:proofErr w:type="gramStart"/>
      <w:r w:rsidRPr="00595B04">
        <w:rPr>
          <w:rFonts w:ascii="Georgia" w:hAnsi="Georgia"/>
          <w:color w:val="383838"/>
          <w:sz w:val="27"/>
          <w:szCs w:val="27"/>
          <w:lang w:val="en-CA" w:eastAsia="en-CA" w:bidi="ar-SA"/>
        </w:rPr>
        <w:t>is the risk modelled</w:t>
      </w:r>
      <w:proofErr w:type="gramEnd"/>
      <w:r w:rsidRPr="00595B04">
        <w:rPr>
          <w:rFonts w:ascii="Georgia" w:hAnsi="Georgia"/>
          <w:color w:val="383838"/>
          <w:sz w:val="27"/>
          <w:szCs w:val="27"/>
          <w:lang w:val="en-CA" w:eastAsia="en-CA" w:bidi="ar-SA"/>
        </w:rPr>
        <w:t xml:space="preserve">? How big are the payouts to investors? How quickly </w:t>
      </w:r>
      <w:proofErr w:type="gramStart"/>
      <w:r w:rsidRPr="00595B04">
        <w:rPr>
          <w:rFonts w:ascii="Georgia" w:hAnsi="Georgia"/>
          <w:color w:val="383838"/>
          <w:sz w:val="27"/>
          <w:szCs w:val="27"/>
          <w:lang w:val="en-CA" w:eastAsia="en-CA" w:bidi="ar-SA"/>
        </w:rPr>
        <w:t>are the funds disbursed</w:t>
      </w:r>
      <w:proofErr w:type="gramEnd"/>
      <w:r w:rsidRPr="00595B04">
        <w:rPr>
          <w:rFonts w:ascii="Georgia" w:hAnsi="Georgia"/>
          <w:color w:val="383838"/>
          <w:sz w:val="27"/>
          <w:szCs w:val="27"/>
          <w:lang w:val="en-CA" w:eastAsia="en-CA" w:bidi="ar-SA"/>
        </w:rPr>
        <w:t>?</w:t>
      </w:r>
    </w:p>
    <w:p w:rsidR="00595B04" w:rsidRPr="00595B04" w:rsidRDefault="00595B04" w:rsidP="00595B04">
      <w:pPr>
        <w:shd w:val="clear" w:color="auto" w:fill="FFFFFF"/>
        <w:spacing w:after="270" w:line="240" w:lineRule="auto"/>
        <w:ind w:firstLine="0"/>
        <w:contextualSpacing w:val="0"/>
        <w:textAlignment w:val="baseline"/>
        <w:rPr>
          <w:rFonts w:ascii="Georgia" w:hAnsi="Georgia"/>
          <w:color w:val="383838"/>
          <w:sz w:val="27"/>
          <w:szCs w:val="27"/>
          <w:lang w:val="en-CA" w:eastAsia="en-CA" w:bidi="ar-SA"/>
        </w:rPr>
      </w:pPr>
      <w:r w:rsidRPr="00595B04">
        <w:rPr>
          <w:rFonts w:ascii="Georgia" w:hAnsi="Georgia"/>
          <w:color w:val="383838"/>
          <w:sz w:val="27"/>
          <w:szCs w:val="27"/>
          <w:lang w:val="en-CA" w:eastAsia="en-CA" w:bidi="ar-SA"/>
        </w:rPr>
        <w:t>A bond triggered by a World Health Organization declaration of a pandemic, with immediate payouts and large sums of money available, would be a bond with high social value. A bond that provides too little money too late — or none at all — is </w:t>
      </w:r>
      <w:hyperlink r:id="rId25" w:history="1">
        <w:r w:rsidRPr="00595B04">
          <w:rPr>
            <w:rFonts w:ascii="Georgia" w:hAnsi="Georgia"/>
            <w:color w:val="555768"/>
            <w:sz w:val="27"/>
            <w:szCs w:val="27"/>
            <w:u w:val="single"/>
            <w:lang w:val="en-CA" w:eastAsia="en-CA" w:bidi="ar-SA"/>
          </w:rPr>
          <w:t>just financialization</w:t>
        </w:r>
      </w:hyperlink>
      <w:r w:rsidRPr="00595B04">
        <w:rPr>
          <w:rFonts w:ascii="Georgia" w:hAnsi="Georgia"/>
          <w:color w:val="383838"/>
          <w:sz w:val="27"/>
          <w:szCs w:val="27"/>
          <w:lang w:val="en-CA" w:eastAsia="en-CA" w:bidi="ar-SA"/>
        </w:rPr>
        <w:t> </w:t>
      </w:r>
      <w:hyperlink r:id="rId26" w:history="1">
        <w:r w:rsidRPr="00595B04">
          <w:rPr>
            <w:rFonts w:ascii="Georgia" w:hAnsi="Georgia"/>
            <w:color w:val="555768"/>
            <w:sz w:val="27"/>
            <w:szCs w:val="27"/>
            <w:u w:val="single"/>
            <w:lang w:val="en-CA" w:eastAsia="en-CA" w:bidi="ar-SA"/>
          </w:rPr>
          <w:t>run amok</w:t>
        </w:r>
      </w:hyperlink>
      <w:r w:rsidRPr="00595B04">
        <w:rPr>
          <w:rFonts w:ascii="Georgia" w:hAnsi="Georgia"/>
          <w:color w:val="383838"/>
          <w:sz w:val="27"/>
          <w:szCs w:val="27"/>
          <w:lang w:val="en-CA" w:eastAsia="en-CA" w:bidi="ar-SA"/>
        </w:rPr>
        <w:t>.</w:t>
      </w:r>
    </w:p>
    <w:p w:rsidR="00672949" w:rsidRPr="00251FA6" w:rsidRDefault="00672949" w:rsidP="00AC5EA6">
      <w:pPr>
        <w:pStyle w:val="Academic"/>
      </w:pPr>
    </w:p>
    <w:sectPr w:rsidR="00672949" w:rsidRPr="00251FA6">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79" w:rsidRDefault="00446A79" w:rsidP="00672949">
      <w:pPr>
        <w:spacing w:after="0" w:line="240" w:lineRule="auto"/>
      </w:pPr>
      <w:r>
        <w:separator/>
      </w:r>
    </w:p>
  </w:endnote>
  <w:endnote w:type="continuationSeparator" w:id="0">
    <w:p w:rsidR="00446A79" w:rsidRDefault="00446A79" w:rsidP="006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6D" w:rsidRDefault="00992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335840440"/>
      <w:docPartObj>
        <w:docPartGallery w:val="Page Numbers (Bottom of Page)"/>
        <w:docPartUnique/>
      </w:docPartObj>
    </w:sdtPr>
    <w:sdtEndPr>
      <w:rPr>
        <w:noProof/>
      </w:rPr>
    </w:sdtEndPr>
    <w:sdtContent>
      <w:p w:rsidR="0099216D" w:rsidRPr="0099216D" w:rsidRDefault="0099216D">
        <w:pPr>
          <w:pStyle w:val="Footer"/>
          <w:jc w:val="center"/>
          <w:rPr>
            <w:rFonts w:ascii="Times New Roman" w:hAnsi="Times New Roman"/>
            <w:sz w:val="24"/>
          </w:rPr>
        </w:pPr>
        <w:r w:rsidRPr="0099216D">
          <w:rPr>
            <w:rFonts w:ascii="Times New Roman" w:hAnsi="Times New Roman"/>
            <w:sz w:val="24"/>
          </w:rPr>
          <w:fldChar w:fldCharType="begin"/>
        </w:r>
        <w:r w:rsidRPr="0099216D">
          <w:rPr>
            <w:rFonts w:ascii="Times New Roman" w:hAnsi="Times New Roman"/>
            <w:sz w:val="24"/>
          </w:rPr>
          <w:instrText xml:space="preserve"> PAGE   \* MERGEFORMAT </w:instrText>
        </w:r>
        <w:r w:rsidRPr="0099216D">
          <w:rPr>
            <w:rFonts w:ascii="Times New Roman" w:hAnsi="Times New Roman"/>
            <w:sz w:val="24"/>
          </w:rPr>
          <w:fldChar w:fldCharType="separate"/>
        </w:r>
        <w:r w:rsidR="00CE59B8">
          <w:rPr>
            <w:rFonts w:ascii="Times New Roman" w:hAnsi="Times New Roman"/>
            <w:noProof/>
            <w:sz w:val="24"/>
          </w:rPr>
          <w:t>2</w:t>
        </w:r>
        <w:r w:rsidRPr="0099216D">
          <w:rPr>
            <w:rFonts w:ascii="Times New Roman" w:hAnsi="Times New Roman"/>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6D" w:rsidRDefault="0099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79" w:rsidRDefault="00446A79" w:rsidP="00672949">
      <w:pPr>
        <w:spacing w:after="0" w:line="240" w:lineRule="auto"/>
      </w:pPr>
      <w:r>
        <w:separator/>
      </w:r>
    </w:p>
  </w:footnote>
  <w:footnote w:type="continuationSeparator" w:id="0">
    <w:p w:rsidR="00446A79" w:rsidRDefault="00446A79" w:rsidP="0067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6D" w:rsidRDefault="00992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6D" w:rsidRDefault="00992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6D" w:rsidRDefault="0099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9851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80B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7C47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C6C2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6C0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528B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808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CCB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285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0C5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04"/>
    <w:rsid w:val="000E58F2"/>
    <w:rsid w:val="00223B58"/>
    <w:rsid w:val="00251FA6"/>
    <w:rsid w:val="004233B9"/>
    <w:rsid w:val="00446A79"/>
    <w:rsid w:val="00595B04"/>
    <w:rsid w:val="005A5B8D"/>
    <w:rsid w:val="00672949"/>
    <w:rsid w:val="00972F30"/>
    <w:rsid w:val="0099216D"/>
    <w:rsid w:val="00AC5EA6"/>
    <w:rsid w:val="00AD1D56"/>
    <w:rsid w:val="00B654B0"/>
    <w:rsid w:val="00C002D9"/>
    <w:rsid w:val="00CE59B8"/>
    <w:rsid w:val="00D75EFB"/>
    <w:rsid w:val="00DF0D49"/>
    <w:rsid w:val="00EA6257"/>
    <w:rsid w:val="00FB1F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0A1D"/>
  <w15:chartTrackingRefBased/>
  <w15:docId w15:val="{85A4F241-9CA1-48C9-9B51-C44D5F3E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B0"/>
    <w:pPr>
      <w:spacing w:after="120" w:line="480" w:lineRule="auto"/>
      <w:ind w:firstLine="720"/>
      <w:contextualSpacing/>
    </w:pPr>
    <w:rPr>
      <w:rFonts w:cs="Times New Roman"/>
      <w:szCs w:val="24"/>
      <w:lang w:val="en-US" w:bidi="he-IL"/>
    </w:rPr>
  </w:style>
  <w:style w:type="paragraph" w:styleId="Heading1">
    <w:name w:val="heading 1"/>
    <w:next w:val="Academic"/>
    <w:link w:val="Heading1Char"/>
    <w:qFormat/>
    <w:rsid w:val="00AC5EA6"/>
    <w:pPr>
      <w:keepNext/>
      <w:spacing w:before="120" w:after="120" w:line="480" w:lineRule="auto"/>
      <w:contextualSpacing/>
      <w:jc w:val="center"/>
      <w:outlineLvl w:val="0"/>
    </w:pPr>
    <w:rPr>
      <w:rFonts w:ascii="Times New Roman" w:hAnsi="Times New Roman" w:cs="Times New Roman"/>
      <w:b/>
      <w:bCs/>
      <w:caps/>
      <w:kern w:val="32"/>
      <w:sz w:val="28"/>
      <w:szCs w:val="32"/>
      <w:lang w:val="en-US" w:bidi="he-IL"/>
    </w:rPr>
  </w:style>
  <w:style w:type="paragraph" w:styleId="Heading2">
    <w:name w:val="heading 2"/>
    <w:basedOn w:val="Heading1"/>
    <w:next w:val="Academic"/>
    <w:link w:val="Heading2Char"/>
    <w:uiPriority w:val="9"/>
    <w:unhideWhenUsed/>
    <w:qFormat/>
    <w:rsid w:val="0099216D"/>
    <w:pPr>
      <w:keepLines/>
      <w:spacing w:before="360" w:after="0"/>
      <w:jc w:val="left"/>
      <w:outlineLvl w:val="1"/>
    </w:pPr>
    <w:rPr>
      <w:rFonts w:eastAsiaTheme="majorEastAsia" w:cstheme="majorBidi"/>
      <w:i/>
      <w:caps w:val="0"/>
      <w:szCs w:val="26"/>
    </w:rPr>
  </w:style>
  <w:style w:type="paragraph" w:styleId="Heading3">
    <w:name w:val="heading 3"/>
    <w:basedOn w:val="Heading2"/>
    <w:next w:val="Normal"/>
    <w:link w:val="Heading3Char"/>
    <w:autoRedefine/>
    <w:uiPriority w:val="9"/>
    <w:unhideWhenUsed/>
    <w:qFormat/>
    <w:rsid w:val="0099216D"/>
    <w:pPr>
      <w:outlineLvl w:val="2"/>
    </w:pPr>
    <w:rPr>
      <w:b w:val="0"/>
      <w:color w:val="000000" w:themeColor="text1"/>
    </w:rPr>
  </w:style>
  <w:style w:type="paragraph" w:styleId="Heading4">
    <w:name w:val="heading 4"/>
    <w:basedOn w:val="Normal"/>
    <w:next w:val="Normal"/>
    <w:link w:val="Heading4Char"/>
    <w:uiPriority w:val="9"/>
    <w:unhideWhenUsed/>
    <w:rsid w:val="00251F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2949"/>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9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C5EA6"/>
    <w:rPr>
      <w:rFonts w:ascii="Times New Roman" w:hAnsi="Times New Roman" w:cs="Times New Roman"/>
      <w:b/>
      <w:bCs/>
      <w:caps/>
      <w:kern w:val="32"/>
      <w:sz w:val="28"/>
      <w:szCs w:val="32"/>
      <w:lang w:val="en-US" w:bidi="he-IL"/>
    </w:rPr>
  </w:style>
  <w:style w:type="paragraph" w:customStyle="1" w:styleId="Academic">
    <w:name w:val="Academic"/>
    <w:basedOn w:val="Normal"/>
    <w:link w:val="AcademicChar"/>
    <w:qFormat/>
    <w:rsid w:val="0099216D"/>
    <w:pPr>
      <w:contextualSpacing w:val="0"/>
    </w:pPr>
    <w:rPr>
      <w:rFonts w:ascii="Times New Roman" w:hAnsi="Times New Roman"/>
      <w:sz w:val="24"/>
    </w:rPr>
  </w:style>
  <w:style w:type="paragraph" w:styleId="FootnoteText">
    <w:name w:val="footnote text"/>
    <w:basedOn w:val="Normal"/>
    <w:link w:val="FootnoteTextChar"/>
    <w:semiHidden/>
    <w:rsid w:val="00672949"/>
    <w:rPr>
      <w:sz w:val="20"/>
      <w:szCs w:val="20"/>
    </w:rPr>
  </w:style>
  <w:style w:type="character" w:customStyle="1" w:styleId="AcademicChar">
    <w:name w:val="Academic Char"/>
    <w:basedOn w:val="DefaultParagraphFont"/>
    <w:link w:val="Academic"/>
    <w:rsid w:val="0099216D"/>
    <w:rPr>
      <w:rFonts w:ascii="Times New Roman" w:hAnsi="Times New Roman" w:cs="Times New Roman"/>
      <w:sz w:val="24"/>
      <w:szCs w:val="24"/>
      <w:lang w:val="en-US" w:bidi="he-IL"/>
    </w:rPr>
  </w:style>
  <w:style w:type="character" w:customStyle="1" w:styleId="FootnoteTextChar">
    <w:name w:val="Footnote Text Char"/>
    <w:basedOn w:val="DefaultParagraphFont"/>
    <w:link w:val="FootnoteText"/>
    <w:semiHidden/>
    <w:rsid w:val="00672949"/>
    <w:rPr>
      <w:rFonts w:ascii="Times New Roman" w:eastAsia="Times New Roman" w:hAnsi="Times New Roman" w:cs="Times New Roman"/>
      <w:sz w:val="20"/>
      <w:szCs w:val="20"/>
      <w:lang w:val="en-US" w:bidi="he-IL"/>
    </w:rPr>
  </w:style>
  <w:style w:type="character" w:styleId="FootnoteReference">
    <w:name w:val="footnote reference"/>
    <w:basedOn w:val="DefaultParagraphFont"/>
    <w:semiHidden/>
    <w:rsid w:val="00672949"/>
    <w:rPr>
      <w:vertAlign w:val="superscript"/>
    </w:rPr>
  </w:style>
  <w:style w:type="character" w:customStyle="1" w:styleId="Heading2Char">
    <w:name w:val="Heading 2 Char"/>
    <w:basedOn w:val="DefaultParagraphFont"/>
    <w:link w:val="Heading2"/>
    <w:uiPriority w:val="9"/>
    <w:rsid w:val="0099216D"/>
    <w:rPr>
      <w:rFonts w:ascii="Times New Roman" w:eastAsiaTheme="majorEastAsia" w:hAnsi="Times New Roman" w:cstheme="majorBidi"/>
      <w:b/>
      <w:bCs/>
      <w:i/>
      <w:kern w:val="32"/>
      <w:sz w:val="24"/>
      <w:szCs w:val="26"/>
      <w:lang w:val="en-US" w:bidi="he-IL"/>
    </w:rPr>
  </w:style>
  <w:style w:type="character" w:customStyle="1" w:styleId="Heading3Char">
    <w:name w:val="Heading 3 Char"/>
    <w:basedOn w:val="DefaultParagraphFont"/>
    <w:link w:val="Heading3"/>
    <w:uiPriority w:val="9"/>
    <w:rsid w:val="0099216D"/>
    <w:rPr>
      <w:rFonts w:ascii="Times New Roman" w:eastAsiaTheme="majorEastAsia" w:hAnsi="Times New Roman" w:cstheme="majorBidi"/>
      <w:bCs/>
      <w:i/>
      <w:color w:val="000000" w:themeColor="text1"/>
      <w:kern w:val="32"/>
      <w:sz w:val="24"/>
      <w:szCs w:val="26"/>
      <w:lang w:val="en-US" w:bidi="he-IL"/>
    </w:rPr>
  </w:style>
  <w:style w:type="paragraph" w:customStyle="1" w:styleId="Response">
    <w:name w:val="Response"/>
    <w:basedOn w:val="Academic"/>
    <w:link w:val="ResponseChar"/>
    <w:autoRedefine/>
    <w:qFormat/>
    <w:rsid w:val="00AC5EA6"/>
    <w:pPr>
      <w:spacing w:line="360" w:lineRule="auto"/>
      <w:ind w:left="720" w:firstLine="0"/>
    </w:pPr>
    <w:rPr>
      <w:rFonts w:asciiTheme="minorHAnsi" w:hAnsiTheme="minorHAnsi"/>
      <w:b/>
    </w:rPr>
  </w:style>
  <w:style w:type="paragraph" w:customStyle="1" w:styleId="Hypothesis">
    <w:name w:val="Hypothesis"/>
    <w:basedOn w:val="Academic"/>
    <w:next w:val="Academic"/>
    <w:link w:val="HypothesisChar"/>
    <w:qFormat/>
    <w:rsid w:val="00B654B0"/>
    <w:pPr>
      <w:ind w:left="720" w:firstLine="0"/>
    </w:pPr>
    <w:rPr>
      <w:i/>
    </w:rPr>
  </w:style>
  <w:style w:type="character" w:customStyle="1" w:styleId="ResponseChar">
    <w:name w:val="Response Char"/>
    <w:basedOn w:val="Heading1Char"/>
    <w:link w:val="Response"/>
    <w:rsid w:val="00AC5EA6"/>
    <w:rPr>
      <w:rFonts w:ascii="Times New Roman" w:hAnsi="Times New Roman" w:cs="Times New Roman"/>
      <w:b/>
      <w:bCs w:val="0"/>
      <w:caps w:val="0"/>
      <w:kern w:val="32"/>
      <w:sz w:val="24"/>
      <w:szCs w:val="24"/>
      <w:lang w:val="en-US" w:bidi="he-IL"/>
    </w:rPr>
  </w:style>
  <w:style w:type="character" w:customStyle="1" w:styleId="HypothesisChar">
    <w:name w:val="Hypothesis Char"/>
    <w:basedOn w:val="AcademicChar"/>
    <w:link w:val="Hypothesis"/>
    <w:rsid w:val="00B654B0"/>
    <w:rPr>
      <w:rFonts w:ascii="Times New Roman" w:hAnsi="Times New Roman" w:cs="Times New Roman"/>
      <w:i/>
      <w:sz w:val="24"/>
      <w:szCs w:val="24"/>
      <w:lang w:val="en-US" w:bidi="he-IL"/>
    </w:rPr>
  </w:style>
  <w:style w:type="character" w:customStyle="1" w:styleId="Heading4Char">
    <w:name w:val="Heading 4 Char"/>
    <w:basedOn w:val="DefaultParagraphFont"/>
    <w:link w:val="Heading4"/>
    <w:uiPriority w:val="9"/>
    <w:rsid w:val="00251FA6"/>
    <w:rPr>
      <w:rFonts w:asciiTheme="majorHAnsi" w:eastAsiaTheme="majorEastAsia" w:hAnsiTheme="majorHAnsi" w:cstheme="majorBidi"/>
      <w:i/>
      <w:iCs/>
      <w:color w:val="2E74B5" w:themeColor="accent1" w:themeShade="BF"/>
      <w:szCs w:val="24"/>
      <w:lang w:val="en-US" w:bidi="he-IL"/>
    </w:rPr>
  </w:style>
  <w:style w:type="paragraph" w:styleId="Header">
    <w:name w:val="header"/>
    <w:basedOn w:val="Normal"/>
    <w:link w:val="HeaderChar"/>
    <w:uiPriority w:val="99"/>
    <w:unhideWhenUsed/>
    <w:rsid w:val="0099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16D"/>
    <w:rPr>
      <w:rFonts w:cs="Times New Roman"/>
      <w:szCs w:val="24"/>
      <w:lang w:val="en-US" w:bidi="he-IL"/>
    </w:rPr>
  </w:style>
  <w:style w:type="paragraph" w:styleId="Footer">
    <w:name w:val="footer"/>
    <w:basedOn w:val="Normal"/>
    <w:link w:val="FooterChar"/>
    <w:uiPriority w:val="99"/>
    <w:unhideWhenUsed/>
    <w:rsid w:val="0099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16D"/>
    <w:rPr>
      <w:rFonts w:cs="Times New Roman"/>
      <w:szCs w:val="24"/>
      <w:lang w:val="en-US" w:bidi="he-IL"/>
    </w:rPr>
  </w:style>
  <w:style w:type="paragraph" w:styleId="NormalWeb">
    <w:name w:val="Normal (Web)"/>
    <w:basedOn w:val="Normal"/>
    <w:uiPriority w:val="99"/>
    <w:semiHidden/>
    <w:unhideWhenUsed/>
    <w:rsid w:val="00595B04"/>
    <w:pPr>
      <w:spacing w:before="100" w:beforeAutospacing="1" w:after="100" w:afterAutospacing="1" w:line="240" w:lineRule="auto"/>
      <w:ind w:firstLine="0"/>
      <w:contextualSpacing w:val="0"/>
    </w:pPr>
    <w:rPr>
      <w:rFonts w:ascii="Times New Roman" w:hAnsi="Times New Roman"/>
      <w:sz w:val="24"/>
      <w:lang w:val="en-CA" w:eastAsia="en-CA" w:bidi="ar-SA"/>
    </w:rPr>
  </w:style>
  <w:style w:type="character" w:styleId="Hyperlink">
    <w:name w:val="Hyperlink"/>
    <w:basedOn w:val="DefaultParagraphFont"/>
    <w:uiPriority w:val="99"/>
    <w:semiHidden/>
    <w:unhideWhenUsed/>
    <w:rsid w:val="00595B04"/>
    <w:rPr>
      <w:color w:val="0000FF"/>
      <w:u w:val="single"/>
    </w:rPr>
  </w:style>
  <w:style w:type="character" w:styleId="Strong">
    <w:name w:val="Strong"/>
    <w:basedOn w:val="DefaultParagraphFont"/>
    <w:uiPriority w:val="22"/>
    <w:qFormat/>
    <w:rsid w:val="00595B04"/>
    <w:rPr>
      <w:b/>
      <w:bCs/>
    </w:rPr>
  </w:style>
  <w:style w:type="character" w:customStyle="1" w:styleId="Caption1">
    <w:name w:val="Caption1"/>
    <w:basedOn w:val="DefaultParagraphFont"/>
    <w:rsid w:val="00595B04"/>
  </w:style>
  <w:style w:type="character" w:customStyle="1" w:styleId="source">
    <w:name w:val="source"/>
    <w:basedOn w:val="DefaultParagraphFont"/>
    <w:rsid w:val="00595B04"/>
  </w:style>
  <w:style w:type="character" w:customStyle="1" w:styleId="nobr">
    <w:name w:val="nobr"/>
    <w:basedOn w:val="DefaultParagraphFont"/>
    <w:rsid w:val="0059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2353">
      <w:bodyDiv w:val="1"/>
      <w:marLeft w:val="0"/>
      <w:marRight w:val="0"/>
      <w:marTop w:val="0"/>
      <w:marBottom w:val="0"/>
      <w:divBdr>
        <w:top w:val="none" w:sz="0" w:space="0" w:color="auto"/>
        <w:left w:val="none" w:sz="0" w:space="0" w:color="auto"/>
        <w:bottom w:val="none" w:sz="0" w:space="0" w:color="auto"/>
        <w:right w:val="none" w:sz="0" w:space="0" w:color="auto"/>
      </w:divBdr>
    </w:div>
    <w:div w:id="20439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re.com/media/news-releases/nr-20190704-sigma-3-2019.html" TargetMode="External"/><Relationship Id="rId13" Type="http://schemas.openxmlformats.org/officeDocument/2006/relationships/hyperlink" Target="https://www.bloomberg.com/news/articles/2014-06-17/buffett-warning-unheeded-as-catastrophe-bond-sales-climb" TargetMode="External"/><Relationship Id="rId18" Type="http://schemas.openxmlformats.org/officeDocument/2006/relationships/hyperlink" Target="https://www.artemis.bm/deal-directory/vita-capital-ltd/" TargetMode="External"/><Relationship Id="rId26" Type="http://schemas.openxmlformats.org/officeDocument/2006/relationships/hyperlink" Target="https://www.publicaffairsbooks.com/titles/mariana-mazzucato/the-value-of-everything/9781610396745/" TargetMode="External"/><Relationship Id="rId3" Type="http://schemas.openxmlformats.org/officeDocument/2006/relationships/settings" Target="settings.xml"/><Relationship Id="rId21" Type="http://schemas.openxmlformats.org/officeDocument/2006/relationships/hyperlink" Target="https://doi.org/10.5465/amd.2018.0137" TargetMode="External"/><Relationship Id="rId34" Type="http://schemas.openxmlformats.org/officeDocument/2006/relationships/theme" Target="theme/theme1.xml"/><Relationship Id="rId7" Type="http://schemas.openxmlformats.org/officeDocument/2006/relationships/hyperlink" Target="https://www.vox.com/2020/3/25/21192716/senate-deal-coronavirus-stimulus" TargetMode="External"/><Relationship Id="rId12" Type="http://schemas.openxmlformats.org/officeDocument/2006/relationships/hyperlink" Target="https://www.ft.com/content/0e8a195c-a91e-11e2-bcfb-00144feabdc0" TargetMode="External"/><Relationship Id="rId17" Type="http://schemas.openxmlformats.org/officeDocument/2006/relationships/hyperlink" Target="https://www.artemis.bm/dashboard/cat-bonds-ils-cumulative-issuance/" TargetMode="External"/><Relationship Id="rId25" Type="http://schemas.openxmlformats.org/officeDocument/2006/relationships/hyperlink" Target="https://doi.org/10.1177%2F147612700935585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vestopedia.com/ask/answers/what-tranche/" TargetMode="External"/><Relationship Id="rId20" Type="http://schemas.openxmlformats.org/officeDocument/2006/relationships/hyperlink" Target="https://global.oup.com/academic/product/making-a-market-for-acts-of-god-978019966476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poratefinanceinstitute.com/resources/knowledge/finance/reinsurance-companies/" TargetMode="External"/><Relationship Id="rId24" Type="http://schemas.openxmlformats.org/officeDocument/2006/relationships/hyperlink" Target="https://www.nytimes.com/2020/03/10/business/economy/coronavirus-recession-policy.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iteseerx.ist.psu.edu/viewdoc/download?doi=10.1.1.474.9651" TargetMode="External"/><Relationship Id="rId23" Type="http://schemas.openxmlformats.org/officeDocument/2006/relationships/hyperlink" Target="http://pubdocs.worldbank.org/en/882831509568634367/PEF-Final-Prospectus-PEF.pdf" TargetMode="External"/><Relationship Id="rId28" Type="http://schemas.openxmlformats.org/officeDocument/2006/relationships/header" Target="header2.xml"/><Relationship Id="rId10" Type="http://schemas.openxmlformats.org/officeDocument/2006/relationships/hyperlink" Target="http://www.cabinetmagazine.org/issues/57/burnett.php" TargetMode="External"/><Relationship Id="rId19" Type="http://schemas.openxmlformats.org/officeDocument/2006/relationships/hyperlink" Target="https://doi.org/10.1177%2F0308518X1559480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146/annurev-soc-073014-112402" TargetMode="External"/><Relationship Id="rId14" Type="http://schemas.openxmlformats.org/officeDocument/2006/relationships/hyperlink" Target="https://www.artemis.bm/deal-directory/sierra-ltd-series-2019-1/" TargetMode="External"/><Relationship Id="rId22" Type="http://schemas.openxmlformats.org/officeDocument/2006/relationships/hyperlink" Target="https://www.france24.com/en/20200226-coronavirus-pandemic-bond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Etzion</dc:creator>
  <cp:keywords/>
  <dc:description/>
  <cp:lastModifiedBy>Dror Etzion</cp:lastModifiedBy>
  <cp:revision>2</cp:revision>
  <dcterms:created xsi:type="dcterms:W3CDTF">2020-03-31T13:40:00Z</dcterms:created>
  <dcterms:modified xsi:type="dcterms:W3CDTF">2020-03-31T14:13:00Z</dcterms:modified>
</cp:coreProperties>
</file>