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9620" w14:textId="011B5452" w:rsidR="004D0022" w:rsidRDefault="004771D7" w:rsidP="00B560E5">
      <w:pPr>
        <w:pStyle w:val="Heading1"/>
      </w:pPr>
      <w:r>
        <w:t xml:space="preserve">Eco-Audits </w:t>
      </w:r>
      <w:r w:rsidR="00523CB6">
        <w:t>d</w:t>
      </w:r>
      <w:r>
        <w:t xml:space="preserve">uring </w:t>
      </w:r>
      <w:r w:rsidR="00B560E5" w:rsidRPr="00B560E5">
        <w:t>Covid-19</w:t>
      </w:r>
      <w:r>
        <w:t xml:space="preserve"> </w:t>
      </w:r>
      <w:r w:rsidR="00523CB6">
        <w:t>Retain Credibility</w:t>
      </w:r>
      <w:r w:rsidR="00797971">
        <w:t xml:space="preserve">, </w:t>
      </w:r>
      <w:r w:rsidR="00523CB6">
        <w:t>Exacerbate</w:t>
      </w:r>
      <w:r>
        <w:t xml:space="preserve"> Inequities</w:t>
      </w:r>
    </w:p>
    <w:p w14:paraId="631B838F" w14:textId="70BC65AA" w:rsidR="00B560E5" w:rsidRDefault="00B560E5" w:rsidP="00B560E5"/>
    <w:p w14:paraId="298816BB" w14:textId="07F712BD" w:rsidR="00B41C8B" w:rsidRDefault="003C70BA" w:rsidP="00B560E5">
      <w:hyperlink r:id="rId4" w:history="1">
        <w:r w:rsidR="0080028C" w:rsidRPr="007D00DE">
          <w:rPr>
            <w:rStyle w:val="Hyperlink"/>
          </w:rPr>
          <w:t>Graeme Auld</w:t>
        </w:r>
      </w:hyperlink>
      <w:r w:rsidR="00B41C8B">
        <w:t>, Professor</w:t>
      </w:r>
      <w:r w:rsidR="007D00DE">
        <w:t>, Public Affairs Research Excellence Chair,</w:t>
      </w:r>
      <w:r w:rsidR="00B41C8B">
        <w:t xml:space="preserve"> and Director, School of Public Policy and Administration, Carleton University</w:t>
      </w:r>
      <w:r w:rsidR="0080028C">
        <w:t xml:space="preserve"> </w:t>
      </w:r>
    </w:p>
    <w:p w14:paraId="0765CFEB" w14:textId="77777777" w:rsidR="00B41C8B" w:rsidRDefault="00B41C8B" w:rsidP="00B560E5"/>
    <w:p w14:paraId="06951C0E" w14:textId="37373B7F" w:rsidR="0080028C" w:rsidRDefault="003C70BA" w:rsidP="00B560E5">
      <w:hyperlink r:id="rId5" w:history="1">
        <w:r w:rsidR="0080028C" w:rsidRPr="007D00DE">
          <w:rPr>
            <w:rStyle w:val="Hyperlink"/>
          </w:rPr>
          <w:t xml:space="preserve">Stefan </w:t>
        </w:r>
        <w:proofErr w:type="spellStart"/>
        <w:r w:rsidR="0080028C" w:rsidRPr="007D00DE">
          <w:rPr>
            <w:rStyle w:val="Hyperlink"/>
          </w:rPr>
          <w:t>Renckens</w:t>
        </w:r>
        <w:proofErr w:type="spellEnd"/>
      </w:hyperlink>
      <w:r w:rsidR="00B41C8B">
        <w:t xml:space="preserve">, Assistant Professor, </w:t>
      </w:r>
      <w:r w:rsidR="00E410CB">
        <w:t xml:space="preserve">Department of Political Science, </w:t>
      </w:r>
      <w:r w:rsidR="00B41C8B">
        <w:t>University of Toronto</w:t>
      </w:r>
    </w:p>
    <w:p w14:paraId="3D5306D8" w14:textId="77777777" w:rsidR="00B41C8B" w:rsidRDefault="00B41C8B" w:rsidP="00B560E5"/>
    <w:p w14:paraId="0CC08BDB" w14:textId="3E6E413A" w:rsidR="0080028C" w:rsidRDefault="0080028C" w:rsidP="00B560E5">
      <w:r>
        <w:t>July 2, 2020</w:t>
      </w:r>
    </w:p>
    <w:p w14:paraId="447895C8" w14:textId="77777777" w:rsidR="0080028C" w:rsidRDefault="0080028C" w:rsidP="00B560E5"/>
    <w:p w14:paraId="1B25D794" w14:textId="63AFFACD" w:rsidR="000150E1" w:rsidRDefault="006038D3" w:rsidP="00B560E5">
      <w:r>
        <w:t xml:space="preserve">COVID-19 has significantly </w:t>
      </w:r>
      <w:r w:rsidR="00025E73">
        <w:t xml:space="preserve">disrupted </w:t>
      </w:r>
      <w:r>
        <w:t>global economic output and transnational supply chains.</w:t>
      </w:r>
      <w:r w:rsidR="00025E73">
        <w:t xml:space="preserve"> While the </w:t>
      </w:r>
      <w:r w:rsidR="00265781">
        <w:t xml:space="preserve">direct </w:t>
      </w:r>
      <w:r w:rsidR="00025E73">
        <w:t>impacts on production and trade are widely discuss</w:t>
      </w:r>
      <w:r w:rsidR="000150E1">
        <w:t>ed, less attention has been given</w:t>
      </w:r>
      <w:r w:rsidR="00025E73">
        <w:t xml:space="preserve"> to the impacts on</w:t>
      </w:r>
      <w:r>
        <w:t xml:space="preserve"> </w:t>
      </w:r>
      <w:r w:rsidR="00025E73">
        <w:t xml:space="preserve">other practices that ensure the functioning </w:t>
      </w:r>
      <w:r w:rsidR="00265781">
        <w:t>of</w:t>
      </w:r>
      <w:r w:rsidR="00025E73">
        <w:t xml:space="preserve"> </w:t>
      </w:r>
      <w:r w:rsidR="00BA1FF9">
        <w:t xml:space="preserve">global </w:t>
      </w:r>
      <w:r w:rsidR="00025E73">
        <w:t xml:space="preserve">markets. </w:t>
      </w:r>
    </w:p>
    <w:p w14:paraId="4CC6D1A3" w14:textId="77777777" w:rsidR="000150E1" w:rsidRDefault="000150E1" w:rsidP="00B560E5"/>
    <w:p w14:paraId="6D3FBD1C" w14:textId="259DEF15" w:rsidR="00B560E5" w:rsidRDefault="00025E73" w:rsidP="00B560E5">
      <w:r>
        <w:t xml:space="preserve">One example of such practices </w:t>
      </w:r>
      <w:r w:rsidR="00D3436F">
        <w:t xml:space="preserve">are private regulatory efforts </w:t>
      </w:r>
      <w:r w:rsidR="000150E1">
        <w:t>that</w:t>
      </w:r>
      <w:r w:rsidR="00D3436F">
        <w:t xml:space="preserve"> over the past three decades have emerged in response to e</w:t>
      </w:r>
      <w:r w:rsidR="003F129C">
        <w:t xml:space="preserve">nvironmental and ethical concerns with practices in </w:t>
      </w:r>
      <w:r w:rsidR="000150E1">
        <w:t xml:space="preserve">global </w:t>
      </w:r>
      <w:r w:rsidR="00D3436F">
        <w:t xml:space="preserve">production processes and </w:t>
      </w:r>
      <w:r w:rsidR="003F129C">
        <w:t>supply chains</w:t>
      </w:r>
      <w:r w:rsidR="00D3436F">
        <w:t xml:space="preserve">. </w:t>
      </w:r>
      <w:r w:rsidR="003F129C">
        <w:t xml:space="preserve">Often taking the form of certification and labeling programs, this type of private regulatory governance </w:t>
      </w:r>
      <w:r w:rsidR="00D3436F">
        <w:t xml:space="preserve">relies on in-person, field audits to </w:t>
      </w:r>
      <w:r w:rsidR="00265781">
        <w:t>verify that</w:t>
      </w:r>
      <w:r w:rsidR="00D3436F">
        <w:t xml:space="preserve"> producers comply with the</w:t>
      </w:r>
      <w:r w:rsidR="007C6A11">
        <w:t xml:space="preserve"> program’s</w:t>
      </w:r>
      <w:r w:rsidR="00D3436F">
        <w:t xml:space="preserve"> sustainability rules. </w:t>
      </w:r>
      <w:r w:rsidR="00265781">
        <w:t xml:space="preserve">In normal times, the auditors working under the auspices of private regulators would be busy inspecting participating operators around the world. </w:t>
      </w:r>
      <w:r w:rsidR="00D3436F">
        <w:t xml:space="preserve">Yet government-mandated business closures, travel restrictions, and quarantine have made audits nigh </w:t>
      </w:r>
      <w:r w:rsidR="008A5BD4">
        <w:t>impossible for the near future. T</w:t>
      </w:r>
      <w:r w:rsidR="000150E1">
        <w:t>hese</w:t>
      </w:r>
      <w:r w:rsidR="00265781">
        <w:t xml:space="preserve"> disruptions are significant</w:t>
      </w:r>
      <w:r w:rsidR="000150E1">
        <w:t>.</w:t>
      </w:r>
      <w:r w:rsidR="00265781">
        <w:t xml:space="preserve"> </w:t>
      </w:r>
      <w:r w:rsidR="000150E1">
        <w:t xml:space="preserve">The </w:t>
      </w:r>
      <w:hyperlink r:id="rId6" w:history="1">
        <w:r w:rsidR="000150E1" w:rsidRPr="008420B9">
          <w:rPr>
            <w:rStyle w:val="Hyperlink"/>
          </w:rPr>
          <w:t>Rainforest Alliance</w:t>
        </w:r>
      </w:hyperlink>
      <w:r w:rsidR="000150E1">
        <w:t>, for instance, which certifies over 16 percent of global tea production and 33 percent of global cocoa production, had 936,981 participating tea farmers and 209,484 cocoa farmers in 2019</w:t>
      </w:r>
      <w:r w:rsidR="008420B9">
        <w:t>.</w:t>
      </w:r>
      <w:r w:rsidR="000150E1">
        <w:t xml:space="preserve"> The 26 member companies of the </w:t>
      </w:r>
      <w:hyperlink r:id="rId7" w:history="1">
        <w:r w:rsidR="000150E1" w:rsidRPr="008420B9">
          <w:rPr>
            <w:rStyle w:val="Hyperlink"/>
          </w:rPr>
          <w:t>Together for Sustainability</w:t>
        </w:r>
      </w:hyperlink>
      <w:r w:rsidR="000150E1">
        <w:t xml:space="preserve"> initiative, which addresses sustainability concerns in the chemical sector, were involved in 14,000 supplier evaluations in 2019</w:t>
      </w:r>
      <w:r w:rsidR="008420B9">
        <w:t>.</w:t>
      </w:r>
      <w:r w:rsidR="000150E1">
        <w:t xml:space="preserve"> The </w:t>
      </w:r>
      <w:hyperlink r:id="rId8" w:history="1">
        <w:r w:rsidR="000150E1" w:rsidRPr="008420B9">
          <w:rPr>
            <w:rStyle w:val="Hyperlink"/>
          </w:rPr>
          <w:t>Program for the Endorsement of Forest Certification</w:t>
        </w:r>
      </w:hyperlink>
      <w:r w:rsidR="000150E1">
        <w:t xml:space="preserve"> (PEFC) has certified 750,000 forest owners in 53 countries</w:t>
      </w:r>
      <w:r w:rsidR="008420B9">
        <w:t>.</w:t>
      </w:r>
      <w:r w:rsidR="000150E1">
        <w:t xml:space="preserve"> </w:t>
      </w:r>
    </w:p>
    <w:p w14:paraId="583F0086" w14:textId="0403E861" w:rsidR="003F129C" w:rsidRDefault="003F129C" w:rsidP="00B560E5"/>
    <w:p w14:paraId="370C4834" w14:textId="145B857E" w:rsidR="003F129C" w:rsidRDefault="00BA1FF9" w:rsidP="00B560E5">
      <w:r>
        <w:t xml:space="preserve">How have programs adjusted to the pandemic’s disruptive impacts on audits? </w:t>
      </w:r>
      <w:r w:rsidR="003F129C">
        <w:t xml:space="preserve">Using a dataset of nearly 100 private regulators, we collected information on their </w:t>
      </w:r>
      <w:r w:rsidR="000150E1">
        <w:t xml:space="preserve">audit </w:t>
      </w:r>
      <w:r w:rsidR="003F129C">
        <w:t xml:space="preserve">policy changes since the pandemic began. </w:t>
      </w:r>
      <w:r w:rsidR="00284450">
        <w:t>The data includes the timing and duration of policy changes, as well as the kinds of adjustments made to the standard suite of in-person field audits. A notable and important overall finding is that disclosure has been partial at best</w:t>
      </w:r>
      <w:r w:rsidR="00655DFB">
        <w:t xml:space="preserve">, with </w:t>
      </w:r>
      <w:r w:rsidR="00284450">
        <w:t xml:space="preserve">less than half of these programs </w:t>
      </w:r>
      <w:r w:rsidR="00655DFB">
        <w:t>making</w:t>
      </w:r>
      <w:r w:rsidR="00284450">
        <w:t xml:space="preserve"> the</w:t>
      </w:r>
      <w:r w:rsidR="00655DFB">
        <w:t>ir</w:t>
      </w:r>
      <w:r w:rsidR="00284450">
        <w:t xml:space="preserve"> policy changes publicly available</w:t>
      </w:r>
      <w:r w:rsidR="00655DFB">
        <w:t>. T</w:t>
      </w:r>
      <w:r w:rsidR="00284450">
        <w:t xml:space="preserve">he earliest policies </w:t>
      </w:r>
      <w:r w:rsidR="00655DFB">
        <w:t xml:space="preserve">were </w:t>
      </w:r>
      <w:r w:rsidR="00284450">
        <w:t>announced in late January</w:t>
      </w:r>
      <w:r w:rsidR="00655DFB">
        <w:t>,</w:t>
      </w:r>
      <w:r w:rsidR="00284450">
        <w:t xml:space="preserve"> </w:t>
      </w:r>
      <w:r w:rsidR="00655DFB">
        <w:t xml:space="preserve">but </w:t>
      </w:r>
      <w:r w:rsidR="00284450">
        <w:t xml:space="preserve">the </w:t>
      </w:r>
      <w:r w:rsidR="00655DFB">
        <w:t>W</w:t>
      </w:r>
      <w:r w:rsidR="00D35492">
        <w:t>H</w:t>
      </w:r>
      <w:r w:rsidR="00655DFB">
        <w:t>O classifying COVID-19 as a global pandemic</w:t>
      </w:r>
      <w:r w:rsidR="007C6A11">
        <w:t xml:space="preserve"> in</w:t>
      </w:r>
      <w:r w:rsidR="00655DFB">
        <w:t xml:space="preserve"> </w:t>
      </w:r>
      <w:r w:rsidR="00E43C83">
        <w:t xml:space="preserve">mid-March </w:t>
      </w:r>
      <w:r w:rsidR="00655DFB">
        <w:t>served as a</w:t>
      </w:r>
      <w:r w:rsidR="00E43C83">
        <w:t>n incentive</w:t>
      </w:r>
      <w:r w:rsidR="00655DFB">
        <w:t xml:space="preserve"> for </w:t>
      </w:r>
      <w:r>
        <w:t>programs to</w:t>
      </w:r>
      <w:r w:rsidR="00655DFB">
        <w:t xml:space="preserve"> announce audit policy changes. </w:t>
      </w:r>
      <w:r w:rsidR="00284450">
        <w:t xml:space="preserve">The dominant modifications </w:t>
      </w:r>
      <w:r w:rsidR="00655DFB">
        <w:t xml:space="preserve">to normal in-person audits </w:t>
      </w:r>
      <w:r w:rsidR="00284450">
        <w:t>focus on postponements, extensions</w:t>
      </w:r>
      <w:r w:rsidR="00655DFB">
        <w:t>,</w:t>
      </w:r>
      <w:r w:rsidR="00284450">
        <w:t xml:space="preserve"> or remote audits as acceptable temporary measures in light of COVID-19. </w:t>
      </w:r>
      <w:r w:rsidR="00655DFB">
        <w:t xml:space="preserve">Programs often included conditions identifying when modifications would be permitted and imposed reporting requirements on the </w:t>
      </w:r>
      <w:r w:rsidR="00655DFB">
        <w:lastRenderedPageBreak/>
        <w:t xml:space="preserve">application of the policy by auditors. </w:t>
      </w:r>
      <w:r w:rsidR="00284450">
        <w:t xml:space="preserve">Very few programs </w:t>
      </w:r>
      <w:r w:rsidR="00655DFB">
        <w:t>announced changes</w:t>
      </w:r>
      <w:r w:rsidR="00284450">
        <w:t xml:space="preserve"> to their substantive requirements.  </w:t>
      </w:r>
    </w:p>
    <w:p w14:paraId="36D83747" w14:textId="1FCD684D" w:rsidR="00284450" w:rsidRDefault="00284450" w:rsidP="00B560E5"/>
    <w:p w14:paraId="0F5B20EC" w14:textId="5AE5849A" w:rsidR="00284450" w:rsidRDefault="00284450" w:rsidP="00B560E5">
      <w:r>
        <w:t xml:space="preserve">There are a wide range of implications of these adjustments. One critical issue involves whether they will make the plight of producers in </w:t>
      </w:r>
      <w:r w:rsidR="00267E09">
        <w:t xml:space="preserve">global South </w:t>
      </w:r>
      <w:r>
        <w:t xml:space="preserve">countries worse off. There are a few indications that this may be the case. For instance, certain programs used risk-based analyses to limit the opportunity to modify audits, and the risk analyses either explicitly or implicitly identified </w:t>
      </w:r>
      <w:r w:rsidR="00267E09">
        <w:t xml:space="preserve">global South </w:t>
      </w:r>
      <w:r>
        <w:t xml:space="preserve">countries as excluded for reasons of risk. </w:t>
      </w:r>
      <w:r w:rsidR="00AF4DDB">
        <w:t xml:space="preserve">The </w:t>
      </w:r>
      <w:hyperlink r:id="rId9" w:history="1">
        <w:r w:rsidR="00AF4DDB" w:rsidRPr="008420B9">
          <w:rPr>
            <w:rStyle w:val="Hyperlink"/>
          </w:rPr>
          <w:t>Aquaculture Stewardship Council</w:t>
        </w:r>
      </w:hyperlink>
      <w:r w:rsidR="00C578AC">
        <w:t>, for example,</w:t>
      </w:r>
      <w:r w:rsidR="00AF4DDB">
        <w:t xml:space="preserve"> has a risk tool – called the ASC Country Social Profile – that builds a country-level risk score</w:t>
      </w:r>
      <w:r w:rsidR="00C578AC">
        <w:t>.</w:t>
      </w:r>
      <w:r w:rsidR="00AF4DDB">
        <w:t xml:space="preserve"> </w:t>
      </w:r>
      <w:r w:rsidR="00B65250">
        <w:t>Producers from countries in the high</w:t>
      </w:r>
      <w:r w:rsidR="00267E09">
        <w:t>-</w:t>
      </w:r>
      <w:r w:rsidR="00B65250">
        <w:t xml:space="preserve">risk group </w:t>
      </w:r>
      <w:r w:rsidR="00AF4DDB">
        <w:t>(e.g. Bangladesh, Belize, China, Colombia, Ecuador, and others) would not be eligible for remote audits</w:t>
      </w:r>
      <w:r w:rsidR="008420B9">
        <w:t>.</w:t>
      </w:r>
    </w:p>
    <w:p w14:paraId="55F1F71F" w14:textId="77777777" w:rsidR="00284450" w:rsidRDefault="00284450" w:rsidP="00B560E5"/>
    <w:p w14:paraId="086B6FA5" w14:textId="6954CE0B" w:rsidR="00B65250" w:rsidRDefault="00284450" w:rsidP="00B560E5">
      <w:r>
        <w:t>Second,</w:t>
      </w:r>
      <w:r w:rsidRPr="00922A34">
        <w:t xml:space="preserve"> the limited flexibility </w:t>
      </w:r>
      <w:r w:rsidR="00862FB2">
        <w:t>of</w:t>
      </w:r>
      <w:r w:rsidR="00862FB2" w:rsidRPr="00922A34">
        <w:t xml:space="preserve"> </w:t>
      </w:r>
      <w:r w:rsidRPr="00922A34">
        <w:t>private programs</w:t>
      </w:r>
      <w:r w:rsidR="00862FB2">
        <w:t xml:space="preserve"> regarding their </w:t>
      </w:r>
      <w:r w:rsidRPr="00922A34">
        <w:t>substantive requirements</w:t>
      </w:r>
      <w:r>
        <w:t xml:space="preserve"> </w:t>
      </w:r>
      <w:r w:rsidR="00862FB2">
        <w:t xml:space="preserve">may harm vulnerable producers that are already experiencing economic hardship due to </w:t>
      </w:r>
      <w:r w:rsidR="00552254">
        <w:t xml:space="preserve">operational </w:t>
      </w:r>
      <w:r w:rsidR="00862FB2">
        <w:t>restrictions and lockdowns</w:t>
      </w:r>
      <w:r w:rsidR="009A299F">
        <w:t>,</w:t>
      </w:r>
      <w:r w:rsidR="00862FB2">
        <w:t xml:space="preserve"> and likely reduced </w:t>
      </w:r>
      <w:r>
        <w:t>interest in certifi</w:t>
      </w:r>
      <w:r w:rsidR="00552254">
        <w:t>ed products in consumer markets in the global North for</w:t>
      </w:r>
      <w:r>
        <w:t xml:space="preserve"> the short and potential</w:t>
      </w:r>
      <w:r w:rsidR="00552254">
        <w:t>ly</w:t>
      </w:r>
      <w:r>
        <w:t xml:space="preserve"> medium term. </w:t>
      </w:r>
      <w:r w:rsidR="00B65250">
        <w:t xml:space="preserve">Only four of the programs disclosing their policy changes offered any flexibility on meeting their substantive requirements during the pandemic outbreak. The most explicit of these came from </w:t>
      </w:r>
      <w:hyperlink r:id="rId10" w:history="1">
        <w:r w:rsidR="00B65250" w:rsidRPr="008420B9">
          <w:rPr>
            <w:rStyle w:val="Hyperlink"/>
          </w:rPr>
          <w:t>Worldwide Responsible Accredited Production</w:t>
        </w:r>
      </w:hyperlink>
      <w:r w:rsidR="00B65250">
        <w:t xml:space="preserve"> (WRAP) that offered some flexibility on rules about working hours</w:t>
      </w:r>
      <w:r w:rsidR="008420B9">
        <w:t>.</w:t>
      </w:r>
    </w:p>
    <w:p w14:paraId="42730E97" w14:textId="77777777" w:rsidR="00B65250" w:rsidRDefault="00B65250" w:rsidP="00B560E5"/>
    <w:p w14:paraId="1D18B197" w14:textId="27327B9C" w:rsidR="00C2552B" w:rsidRDefault="00284450" w:rsidP="00C2552B">
      <w:r>
        <w:t>Third,</w:t>
      </w:r>
      <w:r w:rsidRPr="00922A34">
        <w:t xml:space="preserve"> </w:t>
      </w:r>
      <w:r>
        <w:t xml:space="preserve">costs to be certified may increase </w:t>
      </w:r>
      <w:r w:rsidR="00552254">
        <w:t>because</w:t>
      </w:r>
      <w:r>
        <w:t xml:space="preserve"> of shifts to new types of audits, such as remote </w:t>
      </w:r>
      <w:r w:rsidR="00552254">
        <w:t xml:space="preserve">and virtual </w:t>
      </w:r>
      <w:r>
        <w:t>audits that require different infrastructure</w:t>
      </w:r>
      <w:r w:rsidR="00552254">
        <w:t>, technologies</w:t>
      </w:r>
      <w:r>
        <w:t xml:space="preserve"> and competencies</w:t>
      </w:r>
      <w:r w:rsidR="00552254">
        <w:t xml:space="preserve"> </w:t>
      </w:r>
      <w:r w:rsidR="00B65250">
        <w:t xml:space="preserve">to which operators may not have access. </w:t>
      </w:r>
      <w:r w:rsidR="00552254">
        <w:t xml:space="preserve">Even basic requirements, such as </w:t>
      </w:r>
      <w:r w:rsidR="00B65250">
        <w:t>a stable and sufficiently fast Internet connection for the transfer of documents</w:t>
      </w:r>
      <w:r w:rsidR="00552254">
        <w:t>,</w:t>
      </w:r>
      <w:r w:rsidR="00B65250">
        <w:t xml:space="preserve"> cannot be taken for granted</w:t>
      </w:r>
      <w:r w:rsidR="00552254">
        <w:t xml:space="preserve"> in many global South countries</w:t>
      </w:r>
      <w:r w:rsidR="00B65250">
        <w:t xml:space="preserve">. </w:t>
      </w:r>
      <w:r w:rsidR="00723C29">
        <w:t xml:space="preserve">If poorer operators have to </w:t>
      </w:r>
      <w:r w:rsidR="00B65250">
        <w:t>carry the costs of acquiring the</w:t>
      </w:r>
      <w:r w:rsidR="00723C29">
        <w:t>se</w:t>
      </w:r>
      <w:r w:rsidR="00B65250">
        <w:t xml:space="preserve"> technologies</w:t>
      </w:r>
      <w:r w:rsidR="00723C29">
        <w:t xml:space="preserve"> on their own</w:t>
      </w:r>
      <w:r w:rsidR="00B65250">
        <w:t xml:space="preserve">, this places </w:t>
      </w:r>
      <w:r w:rsidR="00723C29">
        <w:t xml:space="preserve">them at the risk of not being able to participate in the program and hence not have access to the market for sustainable goods. </w:t>
      </w:r>
      <w:r w:rsidR="00C2552B">
        <w:t xml:space="preserve">In addition, programs show a greater concern for remedying </w:t>
      </w:r>
      <w:r w:rsidR="0002503C">
        <w:t>difficulties</w:t>
      </w:r>
      <w:r w:rsidR="00C2552B">
        <w:t xml:space="preserve"> of </w:t>
      </w:r>
      <w:r w:rsidR="00C2552B" w:rsidRPr="009E23B4">
        <w:t>o</w:t>
      </w:r>
      <w:r w:rsidR="00C2552B">
        <w:t>perators that are already participating in a</w:t>
      </w:r>
      <w:r w:rsidR="00C2552B" w:rsidRPr="009E23B4">
        <w:t xml:space="preserve"> program, </w:t>
      </w:r>
      <w:r w:rsidR="00C2552B">
        <w:t>rather than facilitating access to those that are trying to</w:t>
      </w:r>
      <w:r w:rsidR="00C2552B" w:rsidRPr="009E23B4">
        <w:t xml:space="preserve"> </w:t>
      </w:r>
      <w:r w:rsidR="00C2552B">
        <w:t xml:space="preserve">participate for the first time – a preference that exacerbates existing biases towards high-capacity and well-resourced operators. </w:t>
      </w:r>
    </w:p>
    <w:p w14:paraId="06EA0667" w14:textId="2C6793BE" w:rsidR="00723C29" w:rsidRDefault="00723C29" w:rsidP="00B560E5"/>
    <w:p w14:paraId="1B62DCA2" w14:textId="1257E280" w:rsidR="00FC772C" w:rsidRDefault="00B65250" w:rsidP="00B560E5">
      <w:r>
        <w:t xml:space="preserve">Credibility is central to the operation of private regulation. Ensuring audits continue to identify non-compliance is important. But adjustments to COVID-19 also create and </w:t>
      </w:r>
      <w:hyperlink r:id="rId11" w:history="1">
        <w:r w:rsidRPr="005B15DF">
          <w:rPr>
            <w:rStyle w:val="Hyperlink"/>
          </w:rPr>
          <w:t>exacerbate inequities</w:t>
        </w:r>
      </w:hyperlink>
      <w:r>
        <w:t xml:space="preserve"> baked into the process and </w:t>
      </w:r>
      <w:hyperlink r:id="rId12" w:history="1">
        <w:r w:rsidRPr="0050044C">
          <w:rPr>
            <w:rStyle w:val="Hyperlink"/>
          </w:rPr>
          <w:t>logic of private regulation</w:t>
        </w:r>
      </w:hyperlink>
      <w:r>
        <w:t xml:space="preserve"> that ought to be consider</w:t>
      </w:r>
      <w:r w:rsidR="00C2552B">
        <w:t>ed</w:t>
      </w:r>
      <w:r>
        <w:t xml:space="preserve">. </w:t>
      </w:r>
      <w:r w:rsidR="007D00DE">
        <w:t xml:space="preserve">If programs are to retain an emphasis on credible audits, they should consider ways to lessen the burdens and barriers these create. </w:t>
      </w:r>
      <w:r w:rsidR="00C23023">
        <w:t xml:space="preserve">Some programs, such as </w:t>
      </w:r>
      <w:hyperlink r:id="rId13" w:history="1">
        <w:proofErr w:type="spellStart"/>
        <w:r w:rsidR="00C23023" w:rsidRPr="00C23023">
          <w:rPr>
            <w:rStyle w:val="Hyperlink"/>
          </w:rPr>
          <w:t>Goodweave</w:t>
        </w:r>
        <w:proofErr w:type="spellEnd"/>
      </w:hyperlink>
      <w:r w:rsidR="00B5729D" w:rsidRPr="005A38EE">
        <w:rPr>
          <w:rStyle w:val="Hyperlink"/>
          <w:color w:val="auto"/>
          <w:u w:val="none"/>
        </w:rPr>
        <w:t xml:space="preserve"> or </w:t>
      </w:r>
      <w:hyperlink r:id="rId14" w:history="1">
        <w:r w:rsidR="00B5729D" w:rsidRPr="00B5729D">
          <w:rPr>
            <w:rStyle w:val="Hyperlink"/>
          </w:rPr>
          <w:t>Fairtrade International</w:t>
        </w:r>
      </w:hyperlink>
      <w:r w:rsidR="00C23023">
        <w:t xml:space="preserve">, have formed funds to support participating producers; others, like the </w:t>
      </w:r>
      <w:hyperlink r:id="rId15" w:history="1">
        <w:r w:rsidR="00C23023" w:rsidRPr="00C23023">
          <w:rPr>
            <w:rStyle w:val="Hyperlink"/>
          </w:rPr>
          <w:t>Rainforest Alliance</w:t>
        </w:r>
      </w:hyperlink>
      <w:r w:rsidR="00C23023">
        <w:t xml:space="preserve">, are also reporting on the hardship facing producers. In light of constraints and capacity gaps, postponing audits is often an option. However, if </w:t>
      </w:r>
      <w:hyperlink r:id="rId16" w:history="1">
        <w:r w:rsidR="00C23023" w:rsidRPr="00317251">
          <w:rPr>
            <w:rStyle w:val="Hyperlink"/>
          </w:rPr>
          <w:t>remote and virtual audits</w:t>
        </w:r>
      </w:hyperlink>
      <w:r w:rsidR="00C23023">
        <w:t xml:space="preserve"> are to </w:t>
      </w:r>
      <w:r w:rsidR="00C23023">
        <w:lastRenderedPageBreak/>
        <w:t xml:space="preserve">become more mainstream after COVID-19, the capacity barriers facing producers will require attention to ensure credibility does not undermine equity. </w:t>
      </w:r>
    </w:p>
    <w:p w14:paraId="290CACAB" w14:textId="6648E03B" w:rsidR="00FC772C" w:rsidRDefault="00FC772C" w:rsidP="00B560E5"/>
    <w:p w14:paraId="14CF158C" w14:textId="632389B0" w:rsidR="008420B9" w:rsidRPr="00B560E5" w:rsidRDefault="00FC772C" w:rsidP="008420B9">
      <w:r>
        <w:rPr>
          <w:b/>
          <w:bCs/>
        </w:rPr>
        <w:br w:type="column"/>
      </w:r>
      <w:r w:rsidR="008420B9" w:rsidRPr="00B560E5">
        <w:lastRenderedPageBreak/>
        <w:t xml:space="preserve"> </w:t>
      </w:r>
    </w:p>
    <w:p w14:paraId="42E5667D" w14:textId="548CEB06" w:rsidR="00B65250" w:rsidRPr="00B560E5" w:rsidRDefault="00B65250" w:rsidP="00B560E5"/>
    <w:sectPr w:rsidR="00B65250" w:rsidRPr="00B560E5" w:rsidSect="00B66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PA 6th&lt;/Style&gt;&lt;LeftDelim&gt;{&lt;/LeftDelim&gt;&lt;RightDelim&gt;}&lt;/RightDelim&gt;&lt;FontName&gt;Palatino Linotype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2d2e2tkft0zhew5dy5ezpgtfsdzwvvxdas&quot;&gt;1.22.10_gauld-(New version)-Saved-Converted&lt;record-ids&gt;&lt;item&gt;3500&lt;/item&gt;&lt;item&gt;3504&lt;/item&gt;&lt;item&gt;3514&lt;/item&gt;&lt;item&gt;3515&lt;/item&gt;&lt;item&gt;3520&lt;/item&gt;&lt;/record-ids&gt;&lt;/item&gt;&lt;/Libraries&gt;"/>
  </w:docVars>
  <w:rsids>
    <w:rsidRoot w:val="00B560E5"/>
    <w:rsid w:val="000150E1"/>
    <w:rsid w:val="0002503C"/>
    <w:rsid w:val="00025E73"/>
    <w:rsid w:val="0003423D"/>
    <w:rsid w:val="000434CC"/>
    <w:rsid w:val="00097400"/>
    <w:rsid w:val="000B48C0"/>
    <w:rsid w:val="000F65E3"/>
    <w:rsid w:val="00135AA8"/>
    <w:rsid w:val="00167AE8"/>
    <w:rsid w:val="0017000E"/>
    <w:rsid w:val="001711DE"/>
    <w:rsid w:val="001E01EE"/>
    <w:rsid w:val="00265781"/>
    <w:rsid w:val="00265BAD"/>
    <w:rsid w:val="00267E09"/>
    <w:rsid w:val="00284450"/>
    <w:rsid w:val="002B0C44"/>
    <w:rsid w:val="003170B0"/>
    <w:rsid w:val="00317251"/>
    <w:rsid w:val="003801CE"/>
    <w:rsid w:val="00384926"/>
    <w:rsid w:val="003C70BA"/>
    <w:rsid w:val="003F129C"/>
    <w:rsid w:val="0041085F"/>
    <w:rsid w:val="0044737A"/>
    <w:rsid w:val="004771D7"/>
    <w:rsid w:val="004D33C1"/>
    <w:rsid w:val="0050044C"/>
    <w:rsid w:val="00503B40"/>
    <w:rsid w:val="00511BF7"/>
    <w:rsid w:val="00523CB6"/>
    <w:rsid w:val="00552254"/>
    <w:rsid w:val="00581D87"/>
    <w:rsid w:val="005A38EE"/>
    <w:rsid w:val="005B15DF"/>
    <w:rsid w:val="005E5109"/>
    <w:rsid w:val="006038D3"/>
    <w:rsid w:val="00655DFB"/>
    <w:rsid w:val="006841EB"/>
    <w:rsid w:val="00714C4C"/>
    <w:rsid w:val="00723C29"/>
    <w:rsid w:val="00746857"/>
    <w:rsid w:val="00797971"/>
    <w:rsid w:val="007C0590"/>
    <w:rsid w:val="007C69DB"/>
    <w:rsid w:val="007C6A11"/>
    <w:rsid w:val="007D00DE"/>
    <w:rsid w:val="0080028C"/>
    <w:rsid w:val="008314DC"/>
    <w:rsid w:val="008420B9"/>
    <w:rsid w:val="00862FB2"/>
    <w:rsid w:val="008A5BD4"/>
    <w:rsid w:val="00940CB1"/>
    <w:rsid w:val="009867DA"/>
    <w:rsid w:val="009A299F"/>
    <w:rsid w:val="00AB103D"/>
    <w:rsid w:val="00AF4DDB"/>
    <w:rsid w:val="00B41C8B"/>
    <w:rsid w:val="00B508D7"/>
    <w:rsid w:val="00B560E5"/>
    <w:rsid w:val="00B5729D"/>
    <w:rsid w:val="00B57A1A"/>
    <w:rsid w:val="00B65250"/>
    <w:rsid w:val="00B667BD"/>
    <w:rsid w:val="00B846D2"/>
    <w:rsid w:val="00BA1FF9"/>
    <w:rsid w:val="00C23023"/>
    <w:rsid w:val="00C2552B"/>
    <w:rsid w:val="00C578AC"/>
    <w:rsid w:val="00D2208A"/>
    <w:rsid w:val="00D3436F"/>
    <w:rsid w:val="00D35492"/>
    <w:rsid w:val="00E410CB"/>
    <w:rsid w:val="00E43C83"/>
    <w:rsid w:val="00E72852"/>
    <w:rsid w:val="00ED2700"/>
    <w:rsid w:val="00F10F9A"/>
    <w:rsid w:val="00F3091C"/>
    <w:rsid w:val="00FC772C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DB33"/>
  <w14:defaultImageDpi w14:val="32767"/>
  <w15:chartTrackingRefBased/>
  <w15:docId w15:val="{F82C4584-9FBD-8949-A013-CFA68BF6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90"/>
    <w:pPr>
      <w:spacing w:line="259" w:lineRule="auto"/>
    </w:pPr>
    <w:rPr>
      <w:rFonts w:ascii="Palatino Linotype" w:hAnsi="Palatino Linotype" w:cs="Times New Roman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85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852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852"/>
    <w:pPr>
      <w:keepNext/>
      <w:keepLines/>
      <w:spacing w:before="40"/>
      <w:outlineLvl w:val="2"/>
    </w:pPr>
    <w:rPr>
      <w:rFonts w:eastAsiaTheme="majorEastAsia" w:cstheme="majorBidi"/>
      <w:i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852"/>
    <w:rPr>
      <w:rFonts w:ascii="Palatino Linotype" w:eastAsiaTheme="majorEastAsia" w:hAnsi="Palatino Linotype" w:cstheme="majorBidi"/>
      <w:b/>
      <w:color w:val="000000" w:themeColor="tex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852"/>
    <w:rPr>
      <w:rFonts w:ascii="Palatino Linotype" w:eastAsiaTheme="majorEastAsia" w:hAnsi="Palatino Linotype" w:cstheme="majorBidi"/>
      <w:color w:val="000000" w:themeColor="text1"/>
      <w:sz w:val="2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852"/>
    <w:rPr>
      <w:rFonts w:ascii="Palatino Linotype" w:eastAsiaTheme="majorEastAsia" w:hAnsi="Palatino Linotype" w:cstheme="majorBidi"/>
      <w:i/>
      <w:color w:val="1F3763" w:themeColor="accent1" w:themeShade="7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C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C1"/>
    <w:rPr>
      <w:rFonts w:ascii="Times New Roman" w:hAnsi="Times New Roman" w:cs="Times New Roman"/>
      <w:sz w:val="18"/>
      <w:szCs w:val="18"/>
      <w:lang w:val="en-CA"/>
    </w:rPr>
  </w:style>
  <w:style w:type="paragraph" w:customStyle="1" w:styleId="EndNoteBibliographyTitle">
    <w:name w:val="EndNote Bibliography Title"/>
    <w:basedOn w:val="Normal"/>
    <w:link w:val="EndNoteBibliographyTitleChar"/>
    <w:rsid w:val="00FC772C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772C"/>
    <w:rPr>
      <w:rFonts w:ascii="Palatino Linotype" w:hAnsi="Palatino Linotype" w:cs="Times New Roman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C772C"/>
    <w:pPr>
      <w:spacing w:line="240" w:lineRule="auto"/>
    </w:pPr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C772C"/>
    <w:rPr>
      <w:rFonts w:ascii="Palatino Linotype" w:hAnsi="Palatino Linotype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77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pefc.org/pefc.org/media/2020-05/1a524ab5-1ba2-4185-8f8a-9cb16e29150e/22b08b97-31c0-5a60-8ac2-a3d2fb0e9868.pdf" TargetMode="External"/><Relationship Id="rId13" Type="http://schemas.openxmlformats.org/officeDocument/2006/relationships/hyperlink" Target="https://goodweave.org/covid-19-update-and-respons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fs-initiative.com/2020/05/06/sustainable-chemical-supply-chains-tfs-state-of-affairs/" TargetMode="External"/><Relationship Id="rId12" Type="http://schemas.openxmlformats.org/officeDocument/2006/relationships/hyperlink" Target="https://onlinelibrary.wiley.com/doi/abs/10.1111/rego.1207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ommittee.iso.org/files/live/sites/tc176/files/documents/ISO%209001%20Auditing%20Practices%20Group%20docs/Auditing%20General/APG-Remote_Audit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ainforest-alliance.org/sites/default/files/2020-05/AR19_data_report-spreads_0.pdf" TargetMode="External"/><Relationship Id="rId11" Type="http://schemas.openxmlformats.org/officeDocument/2006/relationships/hyperlink" Target="https://www.sciencedirect.com/science/article/abs/pii/S0921800918316173" TargetMode="External"/><Relationship Id="rId5" Type="http://schemas.openxmlformats.org/officeDocument/2006/relationships/hyperlink" Target="https://politics.utoronto.ca/faculty/profile/318/" TargetMode="External"/><Relationship Id="rId15" Type="http://schemas.openxmlformats.org/officeDocument/2006/relationships/hyperlink" Target="https://www.rainforest-alliance.org/articles/global-covid-19-report" TargetMode="External"/><Relationship Id="rId10" Type="http://schemas.openxmlformats.org/officeDocument/2006/relationships/hyperlink" Target="http://www.wrapcompliance.org/upload/Documents/documents/WRAP%20Message%20COVID-19.pdf" TargetMode="External"/><Relationship Id="rId4" Type="http://schemas.openxmlformats.org/officeDocument/2006/relationships/hyperlink" Target="https://carleton.ca/sppa/people/auld-graeme/" TargetMode="External"/><Relationship Id="rId9" Type="http://schemas.openxmlformats.org/officeDocument/2006/relationships/hyperlink" Target="https://www.asc-aqua.org/wp-content/uploads/2020/03/ASC-POLICY-ON-AUDITING-DURING-THE-COVID-19-OUTBREAK-26032020.pdf" TargetMode="External"/><Relationship Id="rId14" Type="http://schemas.openxmlformats.org/officeDocument/2006/relationships/hyperlink" Target="https://www.fairtrade.net/news/bringing-relief-and-resilience-to-producers-3-1m-eur-in-funding-announced-by-fairtrade-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Auld</dc:creator>
  <cp:keywords/>
  <dc:description/>
  <cp:lastModifiedBy>Rivera, Jorge E.</cp:lastModifiedBy>
  <cp:revision>2</cp:revision>
  <dcterms:created xsi:type="dcterms:W3CDTF">2020-07-08T16:28:00Z</dcterms:created>
  <dcterms:modified xsi:type="dcterms:W3CDTF">2020-07-08T16:28:00Z</dcterms:modified>
</cp:coreProperties>
</file>