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4BFE6" w14:textId="77777777" w:rsidR="00790D4F" w:rsidRPr="004762C4" w:rsidRDefault="00790D4F" w:rsidP="00790D4F">
      <w:pPr>
        <w:pStyle w:val="Header"/>
        <w:jc w:val="right"/>
        <w:rPr>
          <w:sz w:val="18"/>
          <w:szCs w:val="18"/>
        </w:rPr>
      </w:pPr>
      <w:r w:rsidRPr="004762C4">
        <w:rPr>
          <w:sz w:val="18"/>
          <w:szCs w:val="18"/>
        </w:rPr>
        <w:t>April 2020</w:t>
      </w:r>
    </w:p>
    <w:p w14:paraId="7B82AD1F" w14:textId="64214C5C" w:rsidR="00790D4F" w:rsidRPr="004762C4" w:rsidRDefault="00790D4F" w:rsidP="00790D4F">
      <w:pPr>
        <w:pStyle w:val="Header"/>
        <w:rPr>
          <w:sz w:val="18"/>
          <w:szCs w:val="18"/>
        </w:rPr>
      </w:pPr>
      <w:r w:rsidRPr="004762C4">
        <w:rPr>
          <w:sz w:val="18"/>
          <w:szCs w:val="18"/>
        </w:rPr>
        <w:t xml:space="preserve">Luis A. Perez-Batres </w:t>
      </w:r>
    </w:p>
    <w:p w14:paraId="5F3884E8" w14:textId="77777777" w:rsidR="00790D4F" w:rsidRPr="00B84552" w:rsidRDefault="00790D4F" w:rsidP="00790D4F">
      <w:pPr>
        <w:pStyle w:val="Header"/>
        <w:rPr>
          <w:sz w:val="18"/>
          <w:szCs w:val="18"/>
        </w:rPr>
      </w:pPr>
      <w:r w:rsidRPr="00B84552">
        <w:rPr>
          <w:sz w:val="18"/>
          <w:szCs w:val="18"/>
        </w:rPr>
        <w:t>Professor and Senior Presidential Fellow</w:t>
      </w:r>
    </w:p>
    <w:p w14:paraId="164FA1DC" w14:textId="77777777" w:rsidR="00790D4F" w:rsidRDefault="00790D4F" w:rsidP="00790D4F">
      <w:pPr>
        <w:pStyle w:val="Header"/>
        <w:rPr>
          <w:sz w:val="18"/>
          <w:szCs w:val="18"/>
        </w:rPr>
      </w:pPr>
      <w:r w:rsidRPr="00B84552">
        <w:rPr>
          <w:sz w:val="18"/>
          <w:szCs w:val="18"/>
        </w:rPr>
        <w:t>Central Michigan University</w:t>
      </w:r>
    </w:p>
    <w:p w14:paraId="080125C7" w14:textId="77777777" w:rsidR="00790D4F" w:rsidRDefault="00790D4F" w:rsidP="00790D4F">
      <w:pPr>
        <w:pStyle w:val="Header"/>
        <w:rPr>
          <w:sz w:val="18"/>
          <w:szCs w:val="18"/>
        </w:rPr>
      </w:pPr>
    </w:p>
    <w:p w14:paraId="2F130741" w14:textId="6EB43768" w:rsidR="00790D4F" w:rsidRDefault="00790D4F" w:rsidP="00790D4F">
      <w:pPr>
        <w:pStyle w:val="Header"/>
        <w:rPr>
          <w:sz w:val="18"/>
          <w:szCs w:val="18"/>
        </w:rPr>
      </w:pPr>
      <w:r>
        <w:rPr>
          <w:sz w:val="18"/>
          <w:szCs w:val="18"/>
        </w:rPr>
        <w:t>Len J Treviño</w:t>
      </w:r>
    </w:p>
    <w:p w14:paraId="080A18CA" w14:textId="77777777" w:rsidR="00790D4F" w:rsidRDefault="00790D4F" w:rsidP="00790D4F">
      <w:pPr>
        <w:pStyle w:val="Header"/>
        <w:rPr>
          <w:sz w:val="18"/>
          <w:szCs w:val="18"/>
        </w:rPr>
      </w:pPr>
      <w:r w:rsidRPr="00790D4F">
        <w:rPr>
          <w:sz w:val="18"/>
          <w:szCs w:val="18"/>
        </w:rPr>
        <w:t>SBA Communications Distinguished Professor of International Business and Director of International Business Programs</w:t>
      </w:r>
    </w:p>
    <w:p w14:paraId="0665BE80" w14:textId="77777777" w:rsidR="00790D4F" w:rsidRPr="00B84552" w:rsidRDefault="00790D4F" w:rsidP="00790D4F">
      <w:pPr>
        <w:pStyle w:val="Header"/>
        <w:rPr>
          <w:sz w:val="18"/>
          <w:szCs w:val="18"/>
        </w:rPr>
      </w:pPr>
      <w:r>
        <w:rPr>
          <w:sz w:val="18"/>
          <w:szCs w:val="18"/>
        </w:rPr>
        <w:t>Florida Atlantic University</w:t>
      </w:r>
    </w:p>
    <w:p w14:paraId="0B911BAC" w14:textId="77777777" w:rsidR="00790D4F" w:rsidRDefault="00790D4F" w:rsidP="00CF2DE2">
      <w:pPr>
        <w:pStyle w:val="NoSpacing"/>
        <w:jc w:val="center"/>
        <w:rPr>
          <w:b/>
          <w:bCs/>
        </w:rPr>
      </w:pPr>
    </w:p>
    <w:p w14:paraId="1B62015D" w14:textId="143BB2A0" w:rsidR="00CF2DE2" w:rsidRDefault="00CF2DE2" w:rsidP="00CF2DE2">
      <w:pPr>
        <w:pStyle w:val="NoSpacing"/>
        <w:jc w:val="center"/>
        <w:rPr>
          <w:b/>
          <w:bCs/>
        </w:rPr>
      </w:pPr>
      <w:r w:rsidRPr="00873941">
        <w:rPr>
          <w:b/>
          <w:bCs/>
        </w:rPr>
        <w:t>Exposure</w:t>
      </w:r>
      <w:r w:rsidR="00083C9B">
        <w:rPr>
          <w:b/>
          <w:bCs/>
        </w:rPr>
        <w:t>,</w:t>
      </w:r>
      <w:r w:rsidR="00D378C5">
        <w:rPr>
          <w:b/>
          <w:bCs/>
        </w:rPr>
        <w:t xml:space="preserve"> </w:t>
      </w:r>
      <w:r w:rsidR="008B63E6">
        <w:rPr>
          <w:b/>
          <w:bCs/>
        </w:rPr>
        <w:t>Black Swans</w:t>
      </w:r>
      <w:r w:rsidR="00083C9B">
        <w:rPr>
          <w:b/>
          <w:bCs/>
        </w:rPr>
        <w:t>,</w:t>
      </w:r>
      <w:r w:rsidR="008B63E6">
        <w:rPr>
          <w:b/>
          <w:bCs/>
        </w:rPr>
        <w:t xml:space="preserve"> </w:t>
      </w:r>
      <w:r>
        <w:rPr>
          <w:b/>
          <w:bCs/>
        </w:rPr>
        <w:t>and Real Options</w:t>
      </w:r>
    </w:p>
    <w:p w14:paraId="6ABFF9AE" w14:textId="266A5965" w:rsidR="007425DA" w:rsidRDefault="00F6591C" w:rsidP="007C3A69">
      <w:pPr>
        <w:pStyle w:val="NoSpacing"/>
      </w:pPr>
      <w:r w:rsidRPr="00136DD1">
        <w:t>Society has been susceptible to man-made and natural catastrophic events since the beginning of time.  A few of the more notable natural disasters include the Antioch earthquake of AD 526, the 1881 Haiphong typhoon, and the more recent 2004 Indian Ocean earthquake and tsunami</w:t>
      </w:r>
      <w:r w:rsidR="00DC7EF4">
        <w:t>.</w:t>
      </w:r>
      <w:r w:rsidR="00DC7EF4">
        <w:rPr>
          <w:rStyle w:val="EndnoteReference"/>
        </w:rPr>
        <w:endnoteReference w:id="1"/>
      </w:r>
      <w:r w:rsidRPr="00136DD1">
        <w:t xml:space="preserve"> Man-made disasters include the great depression, the great credit crisis of 2008, and of course climate change</w:t>
      </w:r>
      <w:r w:rsidR="00DC7EF4">
        <w:t>.</w:t>
      </w:r>
      <w:r w:rsidR="00DC7EF4">
        <w:rPr>
          <w:rStyle w:val="EndnoteReference"/>
        </w:rPr>
        <w:endnoteReference w:id="2"/>
      </w:r>
      <w:r w:rsidRPr="005E5B05">
        <w:t xml:space="preserve"> M</w:t>
      </w:r>
      <w:r w:rsidR="003F1EDE" w:rsidRPr="005E5B05">
        <w:t xml:space="preserve">any </w:t>
      </w:r>
      <w:r w:rsidR="003F1EDE">
        <w:t xml:space="preserve">scientists believe we have </w:t>
      </w:r>
      <w:r w:rsidR="00DA071C">
        <w:t>begun</w:t>
      </w:r>
      <w:r w:rsidR="003F1EDE">
        <w:t xml:space="preserve"> to surpass planetary boundaries</w:t>
      </w:r>
      <w:r w:rsidR="008153D4">
        <w:t xml:space="preserve"> on climate change </w:t>
      </w:r>
      <w:r w:rsidR="003F1EDE">
        <w:t>(</w:t>
      </w:r>
      <w:r w:rsidR="00211629">
        <w:t xml:space="preserve">Hoffman and </w:t>
      </w:r>
      <w:r w:rsidR="000F0BCA">
        <w:t xml:space="preserve">Jennings, 2019; </w:t>
      </w:r>
      <w:r w:rsidR="00582586">
        <w:t>Gillins</w:t>
      </w:r>
      <w:r w:rsidR="00843E3E">
        <w:t xml:space="preserve"> &amp; Hagan-Lawson, 2014; </w:t>
      </w:r>
      <w:r w:rsidR="005C35CB">
        <w:t>Rockstrom</w:t>
      </w:r>
      <w:r w:rsidR="00582586">
        <w:t xml:space="preserve"> et al., 2009</w:t>
      </w:r>
      <w:r w:rsidR="003F1EDE">
        <w:t>),</w:t>
      </w:r>
      <w:r w:rsidR="008153D4">
        <w:t xml:space="preserve"> </w:t>
      </w:r>
      <w:r w:rsidR="004C4655">
        <w:t>which may lead to period</w:t>
      </w:r>
      <w:r w:rsidR="0088398B">
        <w:t>ic</w:t>
      </w:r>
      <w:r w:rsidR="004C4655">
        <w:t xml:space="preserve"> flocks of black swan</w:t>
      </w:r>
      <w:r w:rsidR="007425DA">
        <w:rPr>
          <w:rStyle w:val="EndnoteReference"/>
        </w:rPr>
        <w:endnoteReference w:id="3"/>
      </w:r>
      <w:r w:rsidR="007425DA">
        <w:t xml:space="preserve"> events represented by an increase in the number of natural disasters – e.g., fires, floods, tsunamis, </w:t>
      </w:r>
      <w:r>
        <w:t>pandemics</w:t>
      </w:r>
      <w:r w:rsidR="007425DA">
        <w:t>, etc.</w:t>
      </w:r>
      <w:r w:rsidR="007425DA" w:rsidRPr="004A7384">
        <w:t xml:space="preserve"> </w:t>
      </w:r>
      <w:r>
        <w:t xml:space="preserve"> Effective organizational responses to calamities with worldwide consequences </w:t>
      </w:r>
      <w:r w:rsidR="00DA071C">
        <w:t>are</w:t>
      </w:r>
      <w:r w:rsidR="007425DA" w:rsidRPr="004A7384">
        <w:t xml:space="preserve"> paramount. </w:t>
      </w:r>
      <w:r w:rsidR="007425DA">
        <w:t>F</w:t>
      </w:r>
      <w:r w:rsidR="007425DA" w:rsidRPr="004A7384">
        <w:t xml:space="preserve">or </w:t>
      </w:r>
      <w:r w:rsidR="007425DA">
        <w:t>events</w:t>
      </w:r>
      <w:r w:rsidR="007425DA" w:rsidRPr="004A7384">
        <w:t xml:space="preserve"> such as the COVID-19 pandemic, </w:t>
      </w:r>
      <w:r w:rsidR="006A0018">
        <w:t>which</w:t>
      </w:r>
      <w:r w:rsidR="006A0018" w:rsidRPr="004A7384">
        <w:t xml:space="preserve"> </w:t>
      </w:r>
      <w:r w:rsidR="007425DA" w:rsidRPr="004A7384">
        <w:t xml:space="preserve">have triggered isolation measures and </w:t>
      </w:r>
      <w:r w:rsidR="007425DA">
        <w:t>taxed the efficacy of supply chains across countries</w:t>
      </w:r>
      <w:r w:rsidR="007425DA" w:rsidRPr="004A7384">
        <w:t xml:space="preserve">, we recommend </w:t>
      </w:r>
      <w:r w:rsidR="007425DA">
        <w:t>private and public organizations to engage in the real options</w:t>
      </w:r>
      <w:r w:rsidR="007425DA">
        <w:rPr>
          <w:rStyle w:val="EndnoteReference"/>
        </w:rPr>
        <w:endnoteReference w:id="4"/>
      </w:r>
      <w:r w:rsidR="007425DA">
        <w:t xml:space="preserve"> </w:t>
      </w:r>
      <w:r w:rsidR="007425DA" w:rsidRPr="00DC7EF4">
        <w:t>exercise of building small webs of “essential” supply chain nodes on low population density areas</w:t>
      </w:r>
      <w:r w:rsidRPr="00DC7EF4">
        <w:t xml:space="preserve"> to</w:t>
      </w:r>
      <w:r w:rsidR="007425DA" w:rsidRPr="00DC7EF4">
        <w:t>:</w:t>
      </w:r>
    </w:p>
    <w:p w14:paraId="61DA7D52" w14:textId="12814AAE" w:rsidR="007425DA" w:rsidRDefault="007425DA" w:rsidP="007C3A69">
      <w:pPr>
        <w:pStyle w:val="NoSpacing"/>
        <w:numPr>
          <w:ilvl w:val="0"/>
          <w:numId w:val="4"/>
        </w:numPr>
      </w:pPr>
      <w:r>
        <w:t>continually serve these low population density areas during regular times, while</w:t>
      </w:r>
    </w:p>
    <w:p w14:paraId="1606AF53" w14:textId="63E8642A" w:rsidR="007425DA" w:rsidRPr="004A7384" w:rsidRDefault="00625146" w:rsidP="007C3A69">
      <w:pPr>
        <w:pStyle w:val="NoSpacing"/>
        <w:numPr>
          <w:ilvl w:val="0"/>
          <w:numId w:val="4"/>
        </w:numPr>
      </w:pPr>
      <w:r>
        <w:t>e</w:t>
      </w:r>
      <w:r w:rsidR="00F6591C">
        <w:t>nsur</w:t>
      </w:r>
      <w:r>
        <w:t>ing</w:t>
      </w:r>
      <w:r w:rsidR="00F6591C">
        <w:t xml:space="preserve"> </w:t>
      </w:r>
      <w:r w:rsidR="007425DA">
        <w:t xml:space="preserve">sufficient slack capacity to maintain a state’s economy </w:t>
      </w:r>
      <w:r w:rsidR="00F6591C">
        <w:t xml:space="preserve">even if </w:t>
      </w:r>
      <w:r w:rsidR="007425DA">
        <w:t xml:space="preserve">isolation measures </w:t>
      </w:r>
      <w:r w:rsidR="00DA071C">
        <w:t>are</w:t>
      </w:r>
      <w:r w:rsidR="00F6591C">
        <w:t xml:space="preserve"> requir</w:t>
      </w:r>
      <w:r w:rsidR="007425DA">
        <w:t>ed.</w:t>
      </w:r>
    </w:p>
    <w:p w14:paraId="726DE3DC" w14:textId="6F354C60" w:rsidR="007425DA" w:rsidRDefault="007425DA" w:rsidP="007C3A69">
      <w:pPr>
        <w:pStyle w:val="NoSpacing"/>
      </w:pPr>
    </w:p>
    <w:p w14:paraId="02657BEC" w14:textId="1CFF0884" w:rsidR="007425DA" w:rsidRPr="00C64CD1" w:rsidRDefault="007425DA" w:rsidP="00410A00">
      <w:pPr>
        <w:pStyle w:val="NoSpacing"/>
        <w:rPr>
          <w:b/>
          <w:bCs/>
        </w:rPr>
      </w:pPr>
      <w:r w:rsidRPr="00C64CD1">
        <w:rPr>
          <w:b/>
          <w:bCs/>
        </w:rPr>
        <w:t>Collective Exposure</w:t>
      </w:r>
    </w:p>
    <w:p w14:paraId="7B9ADF93" w14:textId="3F00F43F" w:rsidR="007425DA" w:rsidRDefault="00CB7ADA" w:rsidP="00410A00">
      <w:pPr>
        <w:pStyle w:val="NoSpacing"/>
      </w:pPr>
      <w:r>
        <w:t>O</w:t>
      </w:r>
      <w:r w:rsidR="00F6591C">
        <w:t>ur</w:t>
      </w:r>
      <w:r w:rsidR="007425DA">
        <w:t xml:space="preserve"> recommendation</w:t>
      </w:r>
      <w:r>
        <w:t>’s premise</w:t>
      </w:r>
      <w:r w:rsidR="007425DA">
        <w:t xml:space="preserve"> rests on the concept of exposure</w:t>
      </w:r>
      <w:r w:rsidR="007425DA">
        <w:rPr>
          <w:color w:val="FF0000"/>
        </w:rPr>
        <w:t xml:space="preserve"> </w:t>
      </w:r>
      <w:r w:rsidR="007425DA" w:rsidRPr="00C52E39">
        <w:t xml:space="preserve">and </w:t>
      </w:r>
      <w:r>
        <w:t xml:space="preserve">the </w:t>
      </w:r>
      <w:r w:rsidR="007425DA" w:rsidRPr="00C52E39">
        <w:t>exten</w:t>
      </w:r>
      <w:r>
        <w:t>sion of</w:t>
      </w:r>
      <w:r w:rsidR="007425DA" w:rsidRPr="00C52E39">
        <w:t xml:space="preserve"> its implications from an individual level to </w:t>
      </w:r>
      <w:r>
        <w:t xml:space="preserve">a </w:t>
      </w:r>
      <w:r w:rsidR="007425DA" w:rsidRPr="00C52E39">
        <w:t>collective or aggregate leve</w:t>
      </w:r>
      <w:r w:rsidR="007425DA">
        <w:t>l. Defined as being susceptible to an exogenous stressor,</w:t>
      </w:r>
      <w:r w:rsidR="007425DA">
        <w:rPr>
          <w:rStyle w:val="EndnoteReference"/>
        </w:rPr>
        <w:endnoteReference w:id="5"/>
      </w:r>
      <w:r w:rsidR="007425DA">
        <w:t xml:space="preserve"> </w:t>
      </w:r>
      <w:r w:rsidR="007425DA" w:rsidRPr="007C10D7">
        <w:rPr>
          <w:i/>
          <w:iCs/>
        </w:rPr>
        <w:t>exposure</w:t>
      </w:r>
      <w:r w:rsidR="000C4B32">
        <w:t xml:space="preserve"> is </w:t>
      </w:r>
      <w:r w:rsidR="007425DA">
        <w:t>well understood at the individual level</w:t>
      </w:r>
      <w:r w:rsidR="000C4B32">
        <w:t xml:space="preserve">, although less so </w:t>
      </w:r>
      <w:r w:rsidR="007425DA">
        <w:t xml:space="preserve">at the </w:t>
      </w:r>
      <w:r w:rsidR="007425DA" w:rsidRPr="00D9441E">
        <w:t xml:space="preserve">collective </w:t>
      </w:r>
      <w:r w:rsidR="007425DA">
        <w:t>level. For instance, Taubenberger &amp; Morens (2006)</w:t>
      </w:r>
      <w:r w:rsidR="007425DA">
        <w:rPr>
          <w:rStyle w:val="EndnoteReference"/>
        </w:rPr>
        <w:endnoteReference w:id="6"/>
      </w:r>
      <w:r w:rsidR="007425DA">
        <w:t xml:space="preserve"> offer a historical account of the three waves of the Spanish Flu and their devastating consequences. </w:t>
      </w:r>
      <w:r w:rsidR="007425DA" w:rsidRPr="000828EF">
        <w:t xml:space="preserve">However, </w:t>
      </w:r>
      <w:r w:rsidR="007425DA">
        <w:t>their explanations imply a certain societal inability to understand how ecosystems play a role in increasing virus exposure during different timelines.</w:t>
      </w:r>
    </w:p>
    <w:p w14:paraId="747009C0" w14:textId="61A3AB4A" w:rsidR="007425DA" w:rsidRDefault="009C7262" w:rsidP="00410A00">
      <w:pPr>
        <w:pStyle w:val="NoSpacing"/>
      </w:pPr>
      <w:r>
        <w:tab/>
      </w:r>
      <w:r w:rsidR="007425DA">
        <w:t xml:space="preserve">In extending the implications of exposure from an individual level to an aggregate level, first </w:t>
      </w:r>
      <w:r w:rsidR="000C4B32">
        <w:t xml:space="preserve">we </w:t>
      </w:r>
      <w:r w:rsidR="007425DA">
        <w:t xml:space="preserve">identify two </w:t>
      </w:r>
      <w:r w:rsidR="00D83C16">
        <w:t xml:space="preserve">individual-level </w:t>
      </w:r>
      <w:r w:rsidR="007425DA">
        <w:t xml:space="preserve">variables or recommendations </w:t>
      </w:r>
      <w:r w:rsidR="000C4B32">
        <w:t>provided</w:t>
      </w:r>
      <w:r w:rsidR="007425DA">
        <w:t xml:space="preserve"> by the US COVID-19 Task Force: a) enhancing social distance and b) avoiding visiting other households or hosting individuals at home. </w:t>
      </w:r>
      <w:r w:rsidR="000C4B32">
        <w:t>Next</w:t>
      </w:r>
      <w:r w:rsidR="00CB7ADA">
        <w:t>,</w:t>
      </w:r>
      <w:r w:rsidR="000C4B32">
        <w:t xml:space="preserve"> w</w:t>
      </w:r>
      <w:r w:rsidR="007425DA">
        <w:t>e propose</w:t>
      </w:r>
      <w:r w:rsidR="007425DA">
        <w:rPr>
          <w:color w:val="FF0000"/>
        </w:rPr>
        <w:t xml:space="preserve"> </w:t>
      </w:r>
      <w:r w:rsidR="007425DA">
        <w:t>two collective level constructs</w:t>
      </w:r>
      <w:r w:rsidR="007B2AF8">
        <w:t>, for comparison</w:t>
      </w:r>
      <w:r w:rsidR="007425DA">
        <w:t xml:space="preserve">: i) state/country population density and ii) state/country </w:t>
      </w:r>
      <w:r w:rsidR="007425DA" w:rsidRPr="000F1CF9">
        <w:t xml:space="preserve">annual visitors </w:t>
      </w:r>
      <w:r w:rsidR="007425DA">
        <w:t xml:space="preserve">(see Table 1). </w:t>
      </w:r>
      <w:r w:rsidR="00CB7ADA">
        <w:t>I</w:t>
      </w:r>
      <w:r w:rsidR="00DA4B78">
        <w:t>f</w:t>
      </w:r>
      <w:r w:rsidR="007425DA">
        <w:t xml:space="preserve"> social distanc</w:t>
      </w:r>
      <w:r w:rsidR="000C4B32">
        <w:t>ing</w:t>
      </w:r>
      <w:r w:rsidR="007425DA">
        <w:t xml:space="preserve"> decreases individual exposure, then it follows that larger “natural” social distance</w:t>
      </w:r>
      <w:r w:rsidR="000C4B32">
        <w:t>s,</w:t>
      </w:r>
      <w:r w:rsidR="007425DA">
        <w:t xml:space="preserve"> represented by states or countries with lower population densities, should also decrease exposure at the aggregate level. Likewise, if withholding visiting/hosting others decreases exposure at the individual level, then </w:t>
      </w:r>
      <w:r w:rsidR="007B2AF8">
        <w:t>fewer</w:t>
      </w:r>
      <w:r w:rsidR="007425DA">
        <w:t xml:space="preserve"> </w:t>
      </w:r>
      <w:r w:rsidR="007425DA" w:rsidRPr="000F1CF9">
        <w:t xml:space="preserve">annual visitors </w:t>
      </w:r>
      <w:r w:rsidR="007425DA">
        <w:t>at a state or country level should also mitigate exposure.</w:t>
      </w:r>
    </w:p>
    <w:p w14:paraId="066BC210" w14:textId="1C605EB7" w:rsidR="007425DA" w:rsidRDefault="007425DA" w:rsidP="00410A00">
      <w:pPr>
        <w:pStyle w:val="NoSpacing"/>
      </w:pPr>
    </w:p>
    <w:p w14:paraId="381E5C6F" w14:textId="388F320E" w:rsidR="007425DA" w:rsidRDefault="007425DA" w:rsidP="00410A00">
      <w:pPr>
        <w:pStyle w:val="NoSpacing"/>
      </w:pPr>
      <w:r>
        <w:t>Table 1. Exposure equivalents, from an individual to an aggregate level.</w:t>
      </w:r>
    </w:p>
    <w:tbl>
      <w:tblPr>
        <w:tblStyle w:val="TableGrid"/>
        <w:tblW w:w="0" w:type="auto"/>
        <w:tblLook w:val="04A0" w:firstRow="1" w:lastRow="0" w:firstColumn="1" w:lastColumn="0" w:noHBand="0" w:noVBand="1"/>
      </w:tblPr>
      <w:tblGrid>
        <w:gridCol w:w="2695"/>
        <w:gridCol w:w="3690"/>
      </w:tblGrid>
      <w:tr w:rsidR="007425DA" w14:paraId="73E0CA45" w14:textId="77777777" w:rsidTr="00223C59">
        <w:tc>
          <w:tcPr>
            <w:tcW w:w="2695" w:type="dxa"/>
          </w:tcPr>
          <w:p w14:paraId="45D05CC3" w14:textId="418C428F" w:rsidR="007425DA" w:rsidRDefault="007425DA" w:rsidP="00F10B40">
            <w:pPr>
              <w:pStyle w:val="NoSpacing"/>
              <w:jc w:val="center"/>
            </w:pPr>
            <w:r>
              <w:t xml:space="preserve">Individual-level recommendation construct </w:t>
            </w:r>
          </w:p>
        </w:tc>
        <w:tc>
          <w:tcPr>
            <w:tcW w:w="3690" w:type="dxa"/>
          </w:tcPr>
          <w:p w14:paraId="658380A0" w14:textId="4BF4EAF2" w:rsidR="007425DA" w:rsidRDefault="007425DA" w:rsidP="00F10B40">
            <w:pPr>
              <w:pStyle w:val="NoSpacing"/>
              <w:jc w:val="center"/>
            </w:pPr>
            <w:r>
              <w:t>Aggregate-level equivalent</w:t>
            </w:r>
          </w:p>
        </w:tc>
      </w:tr>
      <w:tr w:rsidR="007425DA" w14:paraId="4B46EE76" w14:textId="77777777" w:rsidTr="00223C59">
        <w:tc>
          <w:tcPr>
            <w:tcW w:w="2695" w:type="dxa"/>
          </w:tcPr>
          <w:p w14:paraId="11BCA7D0" w14:textId="2D27C08F" w:rsidR="007425DA" w:rsidRDefault="007425DA" w:rsidP="00F10B40">
            <w:pPr>
              <w:pStyle w:val="NoSpacing"/>
            </w:pPr>
            <w:r>
              <w:t>a) Social Distance</w:t>
            </w:r>
          </w:p>
        </w:tc>
        <w:tc>
          <w:tcPr>
            <w:tcW w:w="3690" w:type="dxa"/>
          </w:tcPr>
          <w:p w14:paraId="0D7E9C06" w14:textId="029FA600" w:rsidR="007425DA" w:rsidRDefault="007425DA" w:rsidP="00F10B40">
            <w:pPr>
              <w:pStyle w:val="NoSpacing"/>
              <w:jc w:val="center"/>
            </w:pPr>
            <w:r>
              <w:t>i) Population Density (State/Country)</w:t>
            </w:r>
          </w:p>
        </w:tc>
      </w:tr>
      <w:tr w:rsidR="007425DA" w14:paraId="163647FA" w14:textId="77777777" w:rsidTr="00223C59">
        <w:tc>
          <w:tcPr>
            <w:tcW w:w="2695" w:type="dxa"/>
          </w:tcPr>
          <w:p w14:paraId="7B36EF6B" w14:textId="53148EE3" w:rsidR="007425DA" w:rsidRDefault="007425DA" w:rsidP="00410A00">
            <w:pPr>
              <w:pStyle w:val="NoSpacing"/>
            </w:pPr>
            <w:r>
              <w:t>b) Visiting / Hosting</w:t>
            </w:r>
          </w:p>
        </w:tc>
        <w:tc>
          <w:tcPr>
            <w:tcW w:w="3690" w:type="dxa"/>
          </w:tcPr>
          <w:p w14:paraId="058BD1D0" w14:textId="05D947DB" w:rsidR="007425DA" w:rsidRDefault="007425DA" w:rsidP="00223C59">
            <w:pPr>
              <w:pStyle w:val="NoSpacing"/>
              <w:jc w:val="center"/>
            </w:pPr>
            <w:r>
              <w:t xml:space="preserve">ii) # </w:t>
            </w:r>
            <w:r w:rsidRPr="000F1CF9">
              <w:t>Int’l Visitors</w:t>
            </w:r>
            <w:r>
              <w:t xml:space="preserve"> (State/Country)</w:t>
            </w:r>
          </w:p>
        </w:tc>
      </w:tr>
    </w:tbl>
    <w:p w14:paraId="7165DE00" w14:textId="77777777" w:rsidR="00282A4D" w:rsidRDefault="00282A4D" w:rsidP="00410A00">
      <w:pPr>
        <w:pStyle w:val="NoSpacing"/>
        <w:rPr>
          <w:b/>
          <w:bCs/>
        </w:rPr>
      </w:pPr>
    </w:p>
    <w:p w14:paraId="057B1FE9" w14:textId="4C764C9C" w:rsidR="007425DA" w:rsidRPr="00771F53" w:rsidRDefault="007425DA" w:rsidP="00410A00">
      <w:pPr>
        <w:pStyle w:val="NoSpacing"/>
        <w:rPr>
          <w:b/>
          <w:bCs/>
        </w:rPr>
      </w:pPr>
      <w:r w:rsidRPr="00771F53">
        <w:rPr>
          <w:b/>
          <w:bCs/>
        </w:rPr>
        <w:lastRenderedPageBreak/>
        <w:t>Expected relationships</w:t>
      </w:r>
    </w:p>
    <w:p w14:paraId="17AD4CA2" w14:textId="5D281559" w:rsidR="007425DA" w:rsidRDefault="000C4B32" w:rsidP="00410A00">
      <w:pPr>
        <w:pStyle w:val="NoSpacing"/>
      </w:pPr>
      <w:r>
        <w:t>W</w:t>
      </w:r>
      <w:r w:rsidR="007425DA">
        <w:t>e expected a positive relationship between COVID-19 number of deaths /confirmed cases and population density/international visitors. Table 2 shows that the top-10 most affected</w:t>
      </w:r>
      <w:r>
        <w:t xml:space="preserve"> U.S.</w:t>
      </w:r>
      <w:r w:rsidR="007425DA">
        <w:t xml:space="preserve"> states had 10 times as many deaths (per 1 million pop.) and roughly six times the population densit</w:t>
      </w:r>
      <w:r>
        <w:t>ies</w:t>
      </w:r>
      <w:r w:rsidR="007425DA">
        <w:t xml:space="preserve"> </w:t>
      </w:r>
      <w:r>
        <w:t>compared to</w:t>
      </w:r>
      <w:r w:rsidR="007425DA">
        <w:t xml:space="preserve"> the least affected bottom-</w:t>
      </w:r>
      <w:r w:rsidR="002F29DB">
        <w:t>10</w:t>
      </w:r>
      <w:r w:rsidR="00DA4B78">
        <w:t xml:space="preserve"> </w:t>
      </w:r>
      <w:r>
        <w:t>U.S.</w:t>
      </w:r>
      <w:r w:rsidR="007425DA">
        <w:t xml:space="preserve"> states. Table 3 </w:t>
      </w:r>
      <w:r>
        <w:t>illustrates</w:t>
      </w:r>
      <w:r w:rsidR="007425DA">
        <w:t xml:space="preserve"> a similar trend for European countries. The top-10 most affected European countries had 140 times as many deaths (per 1 million pop.) and </w:t>
      </w:r>
      <w:r>
        <w:t>approximate</w:t>
      </w:r>
      <w:r w:rsidR="007425DA">
        <w:t xml:space="preserve">ly three times the population density </w:t>
      </w:r>
      <w:r>
        <w:t xml:space="preserve">compared to </w:t>
      </w:r>
      <w:r w:rsidR="007425DA">
        <w:t>the least affected bottom-</w:t>
      </w:r>
      <w:r w:rsidR="002F29DB">
        <w:t>10</w:t>
      </w:r>
      <w:r w:rsidR="007425DA">
        <w:t xml:space="preserve"> European countries. Both Tables </w:t>
      </w:r>
      <w:r>
        <w:t>illustrate</w:t>
      </w:r>
      <w:r w:rsidR="007425DA">
        <w:t xml:space="preserve"> median figures on four key variables: top-10 and bottom-10 (most/least) affected American states (out of all 50) and European nations (out of 40 countries with populations of 100K and above)</w:t>
      </w:r>
      <w:r w:rsidR="001D2A59">
        <w:t xml:space="preserve">, pop. </w:t>
      </w:r>
      <w:r w:rsidR="00CF4F8A">
        <w:t>d</w:t>
      </w:r>
      <w:r w:rsidR="001D2A59">
        <w:t xml:space="preserve">ensity, and annual </w:t>
      </w:r>
      <w:r w:rsidR="00CF4F8A">
        <w:t>international visitors</w:t>
      </w:r>
      <w:r w:rsidR="007425DA">
        <w:t>.</w:t>
      </w:r>
    </w:p>
    <w:p w14:paraId="34E7371D" w14:textId="77777777" w:rsidR="007425DA" w:rsidRDefault="007425DA" w:rsidP="00410A00">
      <w:pPr>
        <w:pStyle w:val="NoSpacing"/>
      </w:pPr>
    </w:p>
    <w:p w14:paraId="250B57A0" w14:textId="7539462E" w:rsidR="007425DA" w:rsidRDefault="007425DA" w:rsidP="00771F53">
      <w:pPr>
        <w:pStyle w:val="NoSpacing"/>
      </w:pPr>
      <w:r>
        <w:t>Table 2. COVID-19 Exposure USA</w:t>
      </w:r>
    </w:p>
    <w:tbl>
      <w:tblPr>
        <w:tblStyle w:val="TableGrid"/>
        <w:tblW w:w="0" w:type="auto"/>
        <w:tblLook w:val="04A0" w:firstRow="1" w:lastRow="0" w:firstColumn="1" w:lastColumn="0" w:noHBand="0" w:noVBand="1"/>
      </w:tblPr>
      <w:tblGrid>
        <w:gridCol w:w="2695"/>
        <w:gridCol w:w="1530"/>
        <w:gridCol w:w="1800"/>
        <w:gridCol w:w="1455"/>
        <w:gridCol w:w="1870"/>
      </w:tblGrid>
      <w:tr w:rsidR="007425DA" w14:paraId="022F59B3" w14:textId="77777777" w:rsidTr="00CB7B90">
        <w:tc>
          <w:tcPr>
            <w:tcW w:w="2695" w:type="dxa"/>
          </w:tcPr>
          <w:p w14:paraId="3F2D55CA" w14:textId="77777777" w:rsidR="007425DA" w:rsidRDefault="007425DA" w:rsidP="00CB7B90">
            <w:pPr>
              <w:jc w:val="center"/>
            </w:pPr>
            <w:r>
              <w:t>States</w:t>
            </w:r>
          </w:p>
        </w:tc>
        <w:tc>
          <w:tcPr>
            <w:tcW w:w="1530" w:type="dxa"/>
          </w:tcPr>
          <w:p w14:paraId="4940F6DB" w14:textId="77777777" w:rsidR="007425DA" w:rsidRDefault="007425DA" w:rsidP="00CB7B90">
            <w:pPr>
              <w:jc w:val="center"/>
            </w:pPr>
            <w:r>
              <w:t xml:space="preserve">Deaths </w:t>
            </w:r>
          </w:p>
          <w:p w14:paraId="5C4B0C8B" w14:textId="1A91545D" w:rsidR="007425DA" w:rsidRDefault="007425DA" w:rsidP="00CB7B90">
            <w:pPr>
              <w:jc w:val="center"/>
            </w:pPr>
            <w:r>
              <w:t>per 1 million pop., 2020</w:t>
            </w:r>
          </w:p>
        </w:tc>
        <w:tc>
          <w:tcPr>
            <w:tcW w:w="1800" w:type="dxa"/>
          </w:tcPr>
          <w:p w14:paraId="462D1A4B" w14:textId="0607A26B" w:rsidR="007425DA" w:rsidRDefault="007425DA" w:rsidP="00CB7B90">
            <w:pPr>
              <w:jc w:val="center"/>
            </w:pPr>
            <w:r>
              <w:t>Confirmed Cases per 1 million pop., 2020</w:t>
            </w:r>
          </w:p>
        </w:tc>
        <w:tc>
          <w:tcPr>
            <w:tcW w:w="1455" w:type="dxa"/>
          </w:tcPr>
          <w:p w14:paraId="4B569B5E" w14:textId="77777777" w:rsidR="007425DA" w:rsidRDefault="007425DA" w:rsidP="00CB7B90">
            <w:pPr>
              <w:jc w:val="center"/>
            </w:pPr>
            <w:r>
              <w:t>Population</w:t>
            </w:r>
          </w:p>
          <w:p w14:paraId="5493431C" w14:textId="77777777" w:rsidR="007425DA" w:rsidRDefault="007425DA" w:rsidP="00CB7B90">
            <w:pPr>
              <w:jc w:val="center"/>
            </w:pPr>
            <w:r>
              <w:t>Density (mi</w:t>
            </w:r>
            <w:r>
              <w:rPr>
                <w:rFonts w:cstheme="minorHAnsi"/>
              </w:rPr>
              <w:t>²</w:t>
            </w:r>
            <w:r>
              <w:t>)</w:t>
            </w:r>
          </w:p>
        </w:tc>
        <w:tc>
          <w:tcPr>
            <w:tcW w:w="1870" w:type="dxa"/>
          </w:tcPr>
          <w:p w14:paraId="30825A78" w14:textId="77777777" w:rsidR="007425DA" w:rsidRDefault="007425DA" w:rsidP="00CB7B90">
            <w:pPr>
              <w:jc w:val="center"/>
            </w:pPr>
            <w:r>
              <w:t>Int’l Air Travelers</w:t>
            </w:r>
          </w:p>
          <w:p w14:paraId="13D58A82" w14:textId="77777777" w:rsidR="007425DA" w:rsidRDefault="007425DA" w:rsidP="00CB7B90">
            <w:pPr>
              <w:jc w:val="center"/>
            </w:pPr>
            <w:r>
              <w:t>millions, 2017</w:t>
            </w:r>
          </w:p>
        </w:tc>
      </w:tr>
      <w:tr w:rsidR="007425DA" w14:paraId="57C66A9B" w14:textId="77777777" w:rsidTr="00CB7B90">
        <w:tc>
          <w:tcPr>
            <w:tcW w:w="2695" w:type="dxa"/>
          </w:tcPr>
          <w:p w14:paraId="6D90CB8A" w14:textId="77777777" w:rsidR="007425DA" w:rsidRDefault="007425DA" w:rsidP="00CB7B90">
            <w:r>
              <w:t xml:space="preserve">Top-10 (most affected) </w:t>
            </w:r>
          </w:p>
        </w:tc>
        <w:tc>
          <w:tcPr>
            <w:tcW w:w="1530" w:type="dxa"/>
          </w:tcPr>
          <w:p w14:paraId="66DD7115" w14:textId="77777777" w:rsidR="007425DA" w:rsidRDefault="007425DA" w:rsidP="00CB7B90">
            <w:pPr>
              <w:jc w:val="center"/>
            </w:pPr>
            <w:r>
              <w:t>42.92</w:t>
            </w:r>
          </w:p>
        </w:tc>
        <w:tc>
          <w:tcPr>
            <w:tcW w:w="1800" w:type="dxa"/>
          </w:tcPr>
          <w:p w14:paraId="58481E73" w14:textId="77777777" w:rsidR="007425DA" w:rsidRDefault="007425DA" w:rsidP="00CB7B90">
            <w:pPr>
              <w:jc w:val="center"/>
            </w:pPr>
            <w:r>
              <w:t>1,582.23</w:t>
            </w:r>
          </w:p>
        </w:tc>
        <w:tc>
          <w:tcPr>
            <w:tcW w:w="1455" w:type="dxa"/>
          </w:tcPr>
          <w:p w14:paraId="61C50A3A" w14:textId="77777777" w:rsidR="007425DA" w:rsidRDefault="007425DA" w:rsidP="00CB7B90">
            <w:pPr>
              <w:jc w:val="center"/>
            </w:pPr>
            <w:r>
              <w:t xml:space="preserve">297 </w:t>
            </w:r>
          </w:p>
        </w:tc>
        <w:tc>
          <w:tcPr>
            <w:tcW w:w="1870" w:type="dxa"/>
          </w:tcPr>
          <w:p w14:paraId="5F2634DA" w14:textId="77777777" w:rsidR="007425DA" w:rsidRDefault="007425DA" w:rsidP="00CB7B90">
            <w:pPr>
              <w:jc w:val="center"/>
            </w:pPr>
            <w:r>
              <w:t>1.52</w:t>
            </w:r>
          </w:p>
        </w:tc>
      </w:tr>
      <w:tr w:rsidR="007425DA" w14:paraId="5083FDC6" w14:textId="77777777" w:rsidTr="00CB7B90">
        <w:tc>
          <w:tcPr>
            <w:tcW w:w="2695" w:type="dxa"/>
          </w:tcPr>
          <w:p w14:paraId="71F4AD39" w14:textId="77777777" w:rsidR="007425DA" w:rsidRDefault="007425DA" w:rsidP="00CB7B90">
            <w:r>
              <w:t>Bottom -10 (least affected)</w:t>
            </w:r>
          </w:p>
        </w:tc>
        <w:tc>
          <w:tcPr>
            <w:tcW w:w="1530" w:type="dxa"/>
          </w:tcPr>
          <w:p w14:paraId="52A659A5" w14:textId="77777777" w:rsidR="007425DA" w:rsidRDefault="007425DA" w:rsidP="00CB7B90">
            <w:pPr>
              <w:jc w:val="center"/>
            </w:pPr>
            <w:r>
              <w:t>4.07</w:t>
            </w:r>
          </w:p>
        </w:tc>
        <w:tc>
          <w:tcPr>
            <w:tcW w:w="1800" w:type="dxa"/>
          </w:tcPr>
          <w:p w14:paraId="52C9E52F" w14:textId="77777777" w:rsidR="007425DA" w:rsidRDefault="007425DA" w:rsidP="00CB7B90">
            <w:pPr>
              <w:jc w:val="center"/>
            </w:pPr>
            <w:r>
              <w:t>287.81</w:t>
            </w:r>
          </w:p>
        </w:tc>
        <w:tc>
          <w:tcPr>
            <w:tcW w:w="1455" w:type="dxa"/>
          </w:tcPr>
          <w:p w14:paraId="266A188A" w14:textId="77777777" w:rsidR="007425DA" w:rsidRDefault="007425DA" w:rsidP="00CB7B90">
            <w:pPr>
              <w:jc w:val="center"/>
            </w:pPr>
            <w:r>
              <w:t xml:space="preserve">46.9 </w:t>
            </w:r>
          </w:p>
        </w:tc>
        <w:tc>
          <w:tcPr>
            <w:tcW w:w="1870" w:type="dxa"/>
          </w:tcPr>
          <w:p w14:paraId="4F3C1F27" w14:textId="77777777" w:rsidR="007425DA" w:rsidRDefault="007425DA" w:rsidP="00CB7B90">
            <w:pPr>
              <w:jc w:val="center"/>
            </w:pPr>
            <w:r>
              <w:t>Fewer than 1K</w:t>
            </w:r>
          </w:p>
        </w:tc>
      </w:tr>
    </w:tbl>
    <w:p w14:paraId="72AB7044" w14:textId="77777777" w:rsidR="007425DA" w:rsidRDefault="007425DA" w:rsidP="00771F53">
      <w:pPr>
        <w:pStyle w:val="NoSpacing"/>
      </w:pPr>
      <w:r>
        <w:t xml:space="preserve">Sources: Worldmeters (04/06/2020); </w:t>
      </w:r>
      <w:hyperlink r:id="rId8" w:history="1">
        <w:r w:rsidRPr="00D25389">
          <w:t>https://state.1keydata.com/state-population-density.php</w:t>
        </w:r>
      </w:hyperlink>
      <w:r>
        <w:t xml:space="preserve">; </w:t>
      </w:r>
      <w:hyperlink r:id="rId9" w:history="1">
        <w:r w:rsidRPr="00D25389">
          <w:t>http://www.fi-aeroweb.com/Top-100-US-Airports.html</w:t>
        </w:r>
      </w:hyperlink>
    </w:p>
    <w:p w14:paraId="35FECAA7" w14:textId="77777777" w:rsidR="007425DA" w:rsidRDefault="007425DA" w:rsidP="00771F53">
      <w:pPr>
        <w:pStyle w:val="NoSpacing"/>
      </w:pPr>
    </w:p>
    <w:p w14:paraId="0AB13C84" w14:textId="70C56547" w:rsidR="007425DA" w:rsidRDefault="007425DA" w:rsidP="00771F53">
      <w:pPr>
        <w:pStyle w:val="NoSpacing"/>
      </w:pPr>
      <w:r>
        <w:t>Table 3. COVID-19 Exposure Europe</w:t>
      </w:r>
    </w:p>
    <w:tbl>
      <w:tblPr>
        <w:tblStyle w:val="TableGrid"/>
        <w:tblW w:w="0" w:type="auto"/>
        <w:tblLook w:val="04A0" w:firstRow="1" w:lastRow="0" w:firstColumn="1" w:lastColumn="0" w:noHBand="0" w:noVBand="1"/>
      </w:tblPr>
      <w:tblGrid>
        <w:gridCol w:w="2695"/>
        <w:gridCol w:w="1530"/>
        <w:gridCol w:w="1800"/>
        <w:gridCol w:w="1455"/>
        <w:gridCol w:w="1870"/>
      </w:tblGrid>
      <w:tr w:rsidR="007425DA" w14:paraId="208F181F" w14:textId="77777777" w:rsidTr="00CB7B90">
        <w:tc>
          <w:tcPr>
            <w:tcW w:w="2695" w:type="dxa"/>
          </w:tcPr>
          <w:p w14:paraId="4C6B513E" w14:textId="77777777" w:rsidR="007425DA" w:rsidRDefault="007425DA" w:rsidP="00CB7B90">
            <w:pPr>
              <w:jc w:val="center"/>
            </w:pPr>
            <w:r>
              <w:t>Countries</w:t>
            </w:r>
          </w:p>
        </w:tc>
        <w:tc>
          <w:tcPr>
            <w:tcW w:w="1530" w:type="dxa"/>
          </w:tcPr>
          <w:p w14:paraId="4C18A7B1" w14:textId="77777777" w:rsidR="007425DA" w:rsidRDefault="007425DA" w:rsidP="00CB7B90">
            <w:pPr>
              <w:jc w:val="center"/>
            </w:pPr>
            <w:r>
              <w:t>Deaths</w:t>
            </w:r>
          </w:p>
          <w:p w14:paraId="68E607EA" w14:textId="39BC3D5C" w:rsidR="007425DA" w:rsidRDefault="007425DA" w:rsidP="00CB7B90">
            <w:pPr>
              <w:jc w:val="center"/>
            </w:pPr>
            <w:r>
              <w:t>per 1 million pop., 2020</w:t>
            </w:r>
          </w:p>
        </w:tc>
        <w:tc>
          <w:tcPr>
            <w:tcW w:w="1800" w:type="dxa"/>
          </w:tcPr>
          <w:p w14:paraId="5BCA9B4F" w14:textId="4694CF31" w:rsidR="007425DA" w:rsidRDefault="007425DA" w:rsidP="00CB7B90">
            <w:pPr>
              <w:jc w:val="center"/>
            </w:pPr>
            <w:r>
              <w:t>Confirmed Cases per 1 million pop., 2020</w:t>
            </w:r>
          </w:p>
        </w:tc>
        <w:tc>
          <w:tcPr>
            <w:tcW w:w="1455" w:type="dxa"/>
          </w:tcPr>
          <w:p w14:paraId="06B516D8" w14:textId="77777777" w:rsidR="007425DA" w:rsidRDefault="007425DA" w:rsidP="00CB7B90">
            <w:pPr>
              <w:jc w:val="center"/>
            </w:pPr>
            <w:r>
              <w:t>Population</w:t>
            </w:r>
          </w:p>
          <w:p w14:paraId="6C3A1A95" w14:textId="77777777" w:rsidR="007425DA" w:rsidRDefault="007425DA" w:rsidP="00CB7B90">
            <w:pPr>
              <w:jc w:val="center"/>
            </w:pPr>
            <w:r>
              <w:t>Density (km</w:t>
            </w:r>
            <w:r>
              <w:rPr>
                <w:rFonts w:cstheme="minorHAnsi"/>
              </w:rPr>
              <w:t>²</w:t>
            </w:r>
            <w:r>
              <w:t>)</w:t>
            </w:r>
          </w:p>
        </w:tc>
        <w:tc>
          <w:tcPr>
            <w:tcW w:w="1870" w:type="dxa"/>
          </w:tcPr>
          <w:p w14:paraId="0C1AB63A" w14:textId="77777777" w:rsidR="007425DA" w:rsidRDefault="007425DA" w:rsidP="00CB7B90">
            <w:pPr>
              <w:jc w:val="center"/>
            </w:pPr>
            <w:r>
              <w:t>Annual Visitors</w:t>
            </w:r>
          </w:p>
          <w:p w14:paraId="77CD785A" w14:textId="77777777" w:rsidR="007425DA" w:rsidRDefault="007425DA" w:rsidP="00CB7B90">
            <w:pPr>
              <w:jc w:val="center"/>
            </w:pPr>
            <w:r>
              <w:t>millions, 2018</w:t>
            </w:r>
          </w:p>
        </w:tc>
      </w:tr>
      <w:tr w:rsidR="007425DA" w14:paraId="7B8DBF28" w14:textId="77777777" w:rsidTr="00CB7B90">
        <w:tc>
          <w:tcPr>
            <w:tcW w:w="2695" w:type="dxa"/>
          </w:tcPr>
          <w:p w14:paraId="2C9D27D1" w14:textId="77777777" w:rsidR="007425DA" w:rsidRDefault="007425DA" w:rsidP="00CB7B90">
            <w:r>
              <w:t xml:space="preserve">Top-10 (most affected) </w:t>
            </w:r>
          </w:p>
        </w:tc>
        <w:tc>
          <w:tcPr>
            <w:tcW w:w="1530" w:type="dxa"/>
          </w:tcPr>
          <w:p w14:paraId="240D4C80" w14:textId="77777777" w:rsidR="007425DA" w:rsidRDefault="007425DA" w:rsidP="00CB7B90">
            <w:pPr>
              <w:jc w:val="center"/>
            </w:pPr>
            <w:r>
              <w:t>88.29</w:t>
            </w:r>
          </w:p>
        </w:tc>
        <w:tc>
          <w:tcPr>
            <w:tcW w:w="1800" w:type="dxa"/>
          </w:tcPr>
          <w:p w14:paraId="2D3CA098" w14:textId="77777777" w:rsidR="007425DA" w:rsidRDefault="007425DA" w:rsidP="00CB7B90">
            <w:pPr>
              <w:jc w:val="center"/>
            </w:pPr>
            <w:r>
              <w:t>1,464.11</w:t>
            </w:r>
          </w:p>
        </w:tc>
        <w:tc>
          <w:tcPr>
            <w:tcW w:w="1455" w:type="dxa"/>
          </w:tcPr>
          <w:p w14:paraId="09E9B5BF" w14:textId="77777777" w:rsidR="007425DA" w:rsidRDefault="007425DA" w:rsidP="00CB7B90">
            <w:pPr>
              <w:jc w:val="center"/>
            </w:pPr>
            <w:r>
              <w:t>204</w:t>
            </w:r>
          </w:p>
        </w:tc>
        <w:tc>
          <w:tcPr>
            <w:tcW w:w="1870" w:type="dxa"/>
          </w:tcPr>
          <w:p w14:paraId="65EE21A6" w14:textId="77777777" w:rsidR="007425DA" w:rsidRDefault="007425DA" w:rsidP="00CB7B90">
            <w:pPr>
              <w:jc w:val="center"/>
            </w:pPr>
            <w:r>
              <w:t>13.3</w:t>
            </w:r>
          </w:p>
        </w:tc>
      </w:tr>
      <w:tr w:rsidR="007425DA" w14:paraId="7BFE22C0" w14:textId="77777777" w:rsidTr="00CB7B90">
        <w:tc>
          <w:tcPr>
            <w:tcW w:w="2695" w:type="dxa"/>
          </w:tcPr>
          <w:p w14:paraId="07EB6A47" w14:textId="77777777" w:rsidR="007425DA" w:rsidRDefault="007425DA" w:rsidP="00CB7B90">
            <w:r>
              <w:t>Bottom -10 (least affected)</w:t>
            </w:r>
          </w:p>
        </w:tc>
        <w:tc>
          <w:tcPr>
            <w:tcW w:w="1530" w:type="dxa"/>
          </w:tcPr>
          <w:p w14:paraId="6D58EC4C" w14:textId="77777777" w:rsidR="007425DA" w:rsidRDefault="007425DA" w:rsidP="00CB7B90">
            <w:pPr>
              <w:jc w:val="center"/>
            </w:pPr>
            <w:r>
              <w:t>0.63</w:t>
            </w:r>
          </w:p>
        </w:tc>
        <w:tc>
          <w:tcPr>
            <w:tcW w:w="1800" w:type="dxa"/>
          </w:tcPr>
          <w:p w14:paraId="076E1CE5" w14:textId="77777777" w:rsidR="007425DA" w:rsidRDefault="007425DA" w:rsidP="00CB7B90">
            <w:pPr>
              <w:jc w:val="center"/>
            </w:pPr>
            <w:r>
              <w:t>90.45</w:t>
            </w:r>
          </w:p>
        </w:tc>
        <w:tc>
          <w:tcPr>
            <w:tcW w:w="1455" w:type="dxa"/>
          </w:tcPr>
          <w:p w14:paraId="26572548" w14:textId="77777777" w:rsidR="007425DA" w:rsidRDefault="007425DA" w:rsidP="00CB7B90">
            <w:pPr>
              <w:jc w:val="center"/>
            </w:pPr>
            <w:r>
              <w:t>68.5</w:t>
            </w:r>
          </w:p>
        </w:tc>
        <w:tc>
          <w:tcPr>
            <w:tcW w:w="1870" w:type="dxa"/>
          </w:tcPr>
          <w:p w14:paraId="783DF573" w14:textId="77777777" w:rsidR="007425DA" w:rsidRDefault="007425DA" w:rsidP="00CB7B90">
            <w:pPr>
              <w:jc w:val="center"/>
            </w:pPr>
            <w:r>
              <w:t>8.8</w:t>
            </w:r>
          </w:p>
        </w:tc>
      </w:tr>
    </w:tbl>
    <w:p w14:paraId="5F882831" w14:textId="77777777" w:rsidR="007425DA" w:rsidRDefault="007425DA" w:rsidP="00771F53">
      <w:r>
        <w:t>Sources: Worldmeters (04/04/2020); indexmundi.com; ourworlddata.org/tourism</w:t>
      </w:r>
    </w:p>
    <w:p w14:paraId="78A87E8F" w14:textId="45F63294" w:rsidR="007425DA" w:rsidRPr="008B5A5D" w:rsidRDefault="007425DA" w:rsidP="00410A00">
      <w:pPr>
        <w:pStyle w:val="NoSpacing"/>
        <w:rPr>
          <w:b/>
          <w:bCs/>
        </w:rPr>
      </w:pPr>
      <w:r>
        <w:rPr>
          <w:b/>
          <w:bCs/>
        </w:rPr>
        <w:t>Financial Hedging and Real Options Hedging</w:t>
      </w:r>
    </w:p>
    <w:p w14:paraId="2C80D910" w14:textId="2C0DA45F" w:rsidR="008B5A5D" w:rsidRPr="00AD2189" w:rsidRDefault="000C4B32" w:rsidP="00410A00">
      <w:pPr>
        <w:pStyle w:val="NoSpacing"/>
      </w:pPr>
      <w:r>
        <w:t>In addition to</w:t>
      </w:r>
      <w:r w:rsidR="007425DA">
        <w:t xml:space="preserve"> the immeasurable cost in terms of human lives, the current black swan has already caused trillions of dollars in </w:t>
      </w:r>
      <w:r w:rsidR="00030B41">
        <w:t>global economic</w:t>
      </w:r>
      <w:r w:rsidR="00174F5E">
        <w:t xml:space="preserve"> </w:t>
      </w:r>
      <w:r w:rsidR="007425DA">
        <w:t>losses . Negative effects from such events, however, are not rare. According to Hoffman,</w:t>
      </w:r>
      <w:r w:rsidR="007425DA">
        <w:rPr>
          <w:rStyle w:val="EndnoteReference"/>
        </w:rPr>
        <w:endnoteReference w:id="7"/>
      </w:r>
      <w:r w:rsidR="007425DA">
        <w:t xml:space="preserve"> some insurance companies have modified their </w:t>
      </w:r>
      <w:r w:rsidR="00A814AA">
        <w:t xml:space="preserve">actuarial </w:t>
      </w:r>
      <w:r w:rsidR="007425DA">
        <w:t xml:space="preserve">tables and increased premiums due to climate change patterns. While calculating and pricing risks is common practice in that industry, </w:t>
      </w:r>
      <w:r>
        <w:t xml:space="preserve">we argue that </w:t>
      </w:r>
      <w:r w:rsidR="007425DA">
        <w:t xml:space="preserve">other organizations must learn from </w:t>
      </w:r>
      <w:r>
        <w:t>them</w:t>
      </w:r>
      <w:r w:rsidR="007425DA">
        <w:t xml:space="preserve">; </w:t>
      </w:r>
      <w:r>
        <w:t xml:space="preserve">one way </w:t>
      </w:r>
      <w:r w:rsidRPr="00873E23">
        <w:t>would be to</w:t>
      </w:r>
      <w:r w:rsidR="007425DA" w:rsidRPr="00873E23">
        <w:t xml:space="preserve"> includ</w:t>
      </w:r>
      <w:r w:rsidRPr="00873E23">
        <w:t>e</w:t>
      </w:r>
      <w:r w:rsidR="007425DA" w:rsidRPr="00873E23">
        <w:t xml:space="preserve"> the cost of </w:t>
      </w:r>
      <w:r w:rsidR="007425DA" w:rsidRPr="00873E23">
        <w:rPr>
          <w:i/>
          <w:iCs/>
        </w:rPr>
        <w:t>financial hedging</w:t>
      </w:r>
      <w:r w:rsidR="007425DA" w:rsidRPr="00873E23">
        <w:t xml:space="preserve"> against the possibility </w:t>
      </w:r>
      <w:r w:rsidR="003A6A01" w:rsidRPr="00873E23">
        <w:t xml:space="preserve">of </w:t>
      </w:r>
      <w:r w:rsidR="007425DA" w:rsidRPr="00873E23">
        <w:t xml:space="preserve">being </w:t>
      </w:r>
      <w:r w:rsidRPr="00873E23">
        <w:t>un</w:t>
      </w:r>
      <w:r w:rsidR="007425DA" w:rsidRPr="00873E23">
        <w:t>able to operate due to black swan</w:t>
      </w:r>
      <w:r w:rsidR="007425DA">
        <w:t xml:space="preserve"> events.</w:t>
      </w:r>
      <w:r w:rsidR="007425DA" w:rsidRPr="00BE20A0">
        <w:rPr>
          <w:color w:val="FFC000" w:themeColor="accent4"/>
        </w:rPr>
        <w:t xml:space="preserve"> </w:t>
      </w:r>
      <w:r w:rsidR="007425DA" w:rsidRPr="00AD2189">
        <w:t>A timely example is that of the All-England Tennis Club (Wimbledon</w:t>
      </w:r>
      <w:r w:rsidR="007425DA" w:rsidRPr="00AD2189">
        <w:rPr>
          <w:rStyle w:val="EndnoteReference"/>
        </w:rPr>
        <w:endnoteReference w:id="8"/>
      </w:r>
      <w:r w:rsidR="007425DA" w:rsidRPr="00AD2189">
        <w:t>)</w:t>
      </w:r>
      <w:r w:rsidR="00465458" w:rsidRPr="00AD2189">
        <w:t xml:space="preserve">; for the past 17 years, Wimbledon paid for an insurance policy to </w:t>
      </w:r>
      <w:r>
        <w:t>safe</w:t>
      </w:r>
      <w:r w:rsidR="00465458" w:rsidRPr="00AD2189">
        <w:t xml:space="preserve">guard against cancellation losses </w:t>
      </w:r>
      <w:r>
        <w:t>due to</w:t>
      </w:r>
      <w:r w:rsidR="00465458" w:rsidRPr="00AD2189">
        <w:t xml:space="preserve"> a worldwide pandemic.</w:t>
      </w:r>
      <w:r w:rsidR="000702A8" w:rsidRPr="00AD2189">
        <w:t xml:space="preserve"> </w:t>
      </w:r>
      <w:r w:rsidR="00393FE4" w:rsidRPr="00AD2189">
        <w:t>The</w:t>
      </w:r>
      <w:r w:rsidR="00B91A3A" w:rsidRPr="00AD2189">
        <w:t>y</w:t>
      </w:r>
      <w:r w:rsidR="00393FE4" w:rsidRPr="00AD2189">
        <w:t xml:space="preserve"> </w:t>
      </w:r>
      <w:r w:rsidR="00671396" w:rsidRPr="00AD2189">
        <w:t xml:space="preserve">now </w:t>
      </w:r>
      <w:r w:rsidR="00393FE4" w:rsidRPr="00AD2189">
        <w:t xml:space="preserve">stand to receive </w:t>
      </w:r>
      <w:r w:rsidR="00C033E5">
        <w:rPr>
          <w:rFonts w:cstheme="minorHAnsi"/>
        </w:rPr>
        <w:t>£</w:t>
      </w:r>
      <w:r w:rsidR="00393FE4" w:rsidRPr="00AD2189">
        <w:t>1</w:t>
      </w:r>
      <w:r w:rsidR="00C033E5">
        <w:t>1</w:t>
      </w:r>
      <w:r w:rsidR="00393FE4" w:rsidRPr="00AD2189">
        <w:t xml:space="preserve">4 million amid the current contingency. </w:t>
      </w:r>
    </w:p>
    <w:p w14:paraId="126A22FA" w14:textId="2F9543D4" w:rsidR="00F77DC6" w:rsidRPr="003D17F2" w:rsidRDefault="009C7262" w:rsidP="00F77DC6">
      <w:pPr>
        <w:pStyle w:val="NoSpacing"/>
      </w:pPr>
      <w:r>
        <w:tab/>
      </w:r>
      <w:r w:rsidR="00F77DC6" w:rsidRPr="006C1BE3">
        <w:t xml:space="preserve">However, financial hedging, such as that offered by insurance products and financial derivatives (calls, puts, forwards, etc.) is not the only </w:t>
      </w:r>
      <w:r w:rsidR="00F70633" w:rsidRPr="006C1BE3">
        <w:t>choice</w:t>
      </w:r>
      <w:r w:rsidR="00F77DC6" w:rsidRPr="006C1BE3">
        <w:t xml:space="preserve">; other hedging alternatives include </w:t>
      </w:r>
      <w:r w:rsidR="00F77DC6" w:rsidRPr="006C1BE3">
        <w:rPr>
          <w:i/>
          <w:iCs/>
        </w:rPr>
        <w:t>real options</w:t>
      </w:r>
      <w:r w:rsidR="00F77DC6" w:rsidRPr="006C1BE3">
        <w:t xml:space="preserve">. Real options </w:t>
      </w:r>
      <w:r w:rsidR="007E6F43" w:rsidRPr="006C1BE3">
        <w:t>provide</w:t>
      </w:r>
      <w:r w:rsidR="00F77DC6" w:rsidRPr="006C1BE3">
        <w:t xml:space="preserve"> </w:t>
      </w:r>
      <w:r w:rsidR="001A500B" w:rsidRPr="006C1BE3">
        <w:t xml:space="preserve">their holders with </w:t>
      </w:r>
      <w:r w:rsidR="00F77DC6" w:rsidRPr="006C1BE3">
        <w:t>an actual physical choice to switch</w:t>
      </w:r>
      <w:r w:rsidR="007F100A" w:rsidRPr="006C1BE3">
        <w:rPr>
          <w:rFonts w:cstheme="minorHAnsi"/>
        </w:rPr>
        <w:t>⁴</w:t>
      </w:r>
      <w:r w:rsidR="00F77DC6" w:rsidRPr="006C1BE3">
        <w:rPr>
          <w:rFonts w:cstheme="minorHAnsi"/>
        </w:rPr>
        <w:t xml:space="preserve"> </w:t>
      </w:r>
      <w:r w:rsidR="00F77DC6" w:rsidRPr="006C1BE3">
        <w:t>should a given scenario materialize – e.g., oil companies sometimes shut down plants when prices are low and resume operation</w:t>
      </w:r>
      <w:r w:rsidR="00030B41" w:rsidRPr="006C1BE3">
        <w:t>s</w:t>
      </w:r>
      <w:r w:rsidR="00F77DC6" w:rsidRPr="006C1BE3">
        <w:t xml:space="preserve"> when prices increase. </w:t>
      </w:r>
      <w:r w:rsidR="002F511F" w:rsidRPr="006C1BE3">
        <w:t>R</w:t>
      </w:r>
      <w:r w:rsidR="00F77DC6" w:rsidRPr="006C1BE3">
        <w:t>eal options</w:t>
      </w:r>
      <w:r w:rsidR="002F511F" w:rsidRPr="006C1BE3">
        <w:t>, however,</w:t>
      </w:r>
      <w:r w:rsidR="00F77DC6" w:rsidRPr="006C1BE3">
        <w:t xml:space="preserve"> </w:t>
      </w:r>
      <w:r w:rsidR="00822DC0" w:rsidRPr="006C1BE3">
        <w:t xml:space="preserve">are </w:t>
      </w:r>
      <w:r w:rsidR="00F77DC6" w:rsidRPr="006C1BE3">
        <w:t xml:space="preserve">not only </w:t>
      </w:r>
      <w:r w:rsidR="003A79E3" w:rsidRPr="006C1BE3">
        <w:t>available to very</w:t>
      </w:r>
      <w:r w:rsidR="00003E85" w:rsidRPr="006C1BE3">
        <w:t xml:space="preserve"> </w:t>
      </w:r>
      <w:r w:rsidR="00F77DC6" w:rsidRPr="006C1BE3">
        <w:t xml:space="preserve">large corporations. At the individual level, </w:t>
      </w:r>
      <w:r w:rsidR="00322A3B" w:rsidRPr="006C1BE3">
        <w:t xml:space="preserve">there is a growing </w:t>
      </w:r>
      <w:r w:rsidR="00030B41" w:rsidRPr="006C1BE3">
        <w:t xml:space="preserve">worldwide </w:t>
      </w:r>
      <w:r w:rsidR="00322A3B" w:rsidRPr="006C1BE3">
        <w:t xml:space="preserve">market </w:t>
      </w:r>
      <w:r w:rsidR="00F77DC6" w:rsidRPr="006C1BE3">
        <w:t xml:space="preserve">of consumers </w:t>
      </w:r>
      <w:r w:rsidR="00532CC7" w:rsidRPr="006C1BE3">
        <w:t>utilizing ho</w:t>
      </w:r>
      <w:r w:rsidR="00F77DC6" w:rsidRPr="006C1BE3">
        <w:t xml:space="preserve">me standby gensets to </w:t>
      </w:r>
      <w:r w:rsidR="00030B41" w:rsidRPr="006C1BE3">
        <w:t>facilitate</w:t>
      </w:r>
      <w:r w:rsidR="00F77DC6" w:rsidRPr="006C1BE3">
        <w:t xml:space="preserve"> continu</w:t>
      </w:r>
      <w:r w:rsidR="00030B41" w:rsidRPr="006C1BE3">
        <w:t>ing</w:t>
      </w:r>
      <w:r w:rsidR="00F77DC6" w:rsidRPr="006C1BE3">
        <w:t xml:space="preserve"> their daily life amid grid failures</w:t>
      </w:r>
      <w:r w:rsidR="00AA5E22" w:rsidRPr="006C1BE3">
        <w:t>.</w:t>
      </w:r>
      <w:r w:rsidR="00F5583C" w:rsidRPr="006C1BE3">
        <w:rPr>
          <w:rStyle w:val="EndnoteReference"/>
        </w:rPr>
        <w:endnoteReference w:id="9"/>
      </w:r>
      <w:r w:rsidR="00F77DC6" w:rsidRPr="006C1BE3">
        <w:t xml:space="preserve"> Indeed, gensets provide them with </w:t>
      </w:r>
      <w:r w:rsidR="00030B41" w:rsidRPr="006C1BE3">
        <w:t>a</w:t>
      </w:r>
      <w:r w:rsidR="00F77DC6" w:rsidRPr="006C1BE3">
        <w:t xml:space="preserve"> real option (physical option</w:t>
      </w:r>
      <w:r w:rsidR="00A814AA">
        <w:t>s to switch or expand</w:t>
      </w:r>
      <w:r w:rsidR="00F77DC6" w:rsidRPr="006C1BE3">
        <w:t>) t</w:t>
      </w:r>
      <w:r w:rsidR="00181F20">
        <w:t>hat they can exercise</w:t>
      </w:r>
      <w:r w:rsidR="00AA5E22" w:rsidRPr="006C1BE3">
        <w:t xml:space="preserve"> during </w:t>
      </w:r>
      <w:r w:rsidR="00D05ECF" w:rsidRPr="006C1BE3">
        <w:t>such contingencies</w:t>
      </w:r>
      <w:r w:rsidR="00F77DC6" w:rsidRPr="006C1BE3">
        <w:t xml:space="preserve">. Thus, similar to what individuals do during a grid failure contingency, we </w:t>
      </w:r>
      <w:r w:rsidR="00030B41" w:rsidRPr="006C1BE3">
        <w:t xml:space="preserve">argue that </w:t>
      </w:r>
      <w:r w:rsidR="00F77DC6" w:rsidRPr="006C1BE3">
        <w:lastRenderedPageBreak/>
        <w:t xml:space="preserve">private and publics organizations </w:t>
      </w:r>
      <w:r w:rsidR="00030B41" w:rsidRPr="006C1BE3">
        <w:t>should</w:t>
      </w:r>
      <w:r w:rsidR="00F77DC6" w:rsidRPr="006C1BE3">
        <w:t xml:space="preserve"> u</w:t>
      </w:r>
      <w:r w:rsidR="00D05ECF" w:rsidRPr="006C1BE3">
        <w:t>til</w:t>
      </w:r>
      <w:r w:rsidR="005A0091" w:rsidRPr="006C1BE3">
        <w:t>iz</w:t>
      </w:r>
      <w:r w:rsidR="00030B41" w:rsidRPr="006C1BE3">
        <w:t xml:space="preserve">e </w:t>
      </w:r>
      <w:r w:rsidR="00F77DC6" w:rsidRPr="006C1BE3">
        <w:t xml:space="preserve">real options at the aggregate level amid contingency failures derived from regular “supply chain </w:t>
      </w:r>
      <w:r w:rsidR="00F77DC6" w:rsidRPr="006C1BE3">
        <w:rPr>
          <w:i/>
          <w:iCs/>
        </w:rPr>
        <w:t>power</w:t>
      </w:r>
      <w:r w:rsidR="00F77DC6" w:rsidRPr="006C1BE3">
        <w:t xml:space="preserve"> </w:t>
      </w:r>
      <w:r w:rsidR="00F77DC6" w:rsidRPr="006C1BE3">
        <w:rPr>
          <w:i/>
          <w:iCs/>
        </w:rPr>
        <w:t>grid</w:t>
      </w:r>
      <w:r w:rsidR="00F77DC6" w:rsidRPr="006C1BE3">
        <w:t xml:space="preserve">” </w:t>
      </w:r>
      <w:r w:rsidR="005A0091" w:rsidRPr="006C1BE3">
        <w:t>malfunction</w:t>
      </w:r>
      <w:r w:rsidR="00030B41" w:rsidRPr="006C1BE3">
        <w:t>s</w:t>
      </w:r>
      <w:r w:rsidR="00714280" w:rsidRPr="006C1BE3">
        <w:t xml:space="preserve">. </w:t>
      </w:r>
    </w:p>
    <w:p w14:paraId="13E82EC9" w14:textId="634E2604" w:rsidR="00625146" w:rsidRDefault="00625146" w:rsidP="00873E23">
      <w:pPr>
        <w:pStyle w:val="NoSpacing"/>
      </w:pPr>
    </w:p>
    <w:p w14:paraId="52361B91" w14:textId="4B377913" w:rsidR="00AD0166" w:rsidRPr="00AD0166" w:rsidRDefault="00AD0166" w:rsidP="00410A00">
      <w:pPr>
        <w:pStyle w:val="NoSpacing"/>
        <w:rPr>
          <w:b/>
          <w:bCs/>
        </w:rPr>
      </w:pPr>
      <w:r w:rsidRPr="00AD0166">
        <w:rPr>
          <w:b/>
          <w:bCs/>
        </w:rPr>
        <w:t>Conclusion</w:t>
      </w:r>
    </w:p>
    <w:p w14:paraId="5D2571CC" w14:textId="283BBA0D" w:rsidR="0076593D" w:rsidRDefault="00D93A81" w:rsidP="008507D0">
      <w:pPr>
        <w:pStyle w:val="NoSpacing"/>
      </w:pPr>
      <w:r w:rsidRPr="006C1BE3">
        <w:t>Building small webs of essential supply chain nodes would act as a contingency strategy to power a state’s economy during catastrophic contingencies.</w:t>
      </w:r>
      <w:r w:rsidRPr="003D17F2">
        <w:t xml:space="preserve"> </w:t>
      </w:r>
      <w:r w:rsidR="00C73322">
        <w:t>In addition, w</w:t>
      </w:r>
      <w:r w:rsidR="0076593D" w:rsidRPr="0076593D">
        <w:t xml:space="preserve">e believe </w:t>
      </w:r>
      <w:r w:rsidR="00030B41">
        <w:t xml:space="preserve">that </w:t>
      </w:r>
      <w:r w:rsidR="0076593D" w:rsidRPr="0076593D">
        <w:t xml:space="preserve">creating webs of “essential” supply chain nodes on low population density areas have two direct </w:t>
      </w:r>
      <w:r w:rsidR="00D079DB">
        <w:t>extra</w:t>
      </w:r>
      <w:r w:rsidR="00D079DB" w:rsidRPr="0076593D">
        <w:t xml:space="preserve"> </w:t>
      </w:r>
      <w:r w:rsidR="0076593D" w:rsidRPr="0076593D">
        <w:t>benefits</w:t>
      </w:r>
      <w:r w:rsidR="001D0C09">
        <w:t>, namely promoting</w:t>
      </w:r>
      <w:r w:rsidR="0076593D" w:rsidRPr="0076593D">
        <w:t xml:space="preserve">: 1) fuller participation of smaller communities in the life and well-being of a state and country, especially during similar </w:t>
      </w:r>
      <w:r w:rsidR="00BC3D74">
        <w:t xml:space="preserve">exigent </w:t>
      </w:r>
      <w:r w:rsidR="00AF238E">
        <w:t>circumstances</w:t>
      </w:r>
      <w:r w:rsidR="0076593D" w:rsidRPr="0076593D">
        <w:t xml:space="preserve">, and 2) an enhanced sense of community self-reliance during </w:t>
      </w:r>
      <w:r w:rsidR="00BC3D74">
        <w:t>normal</w:t>
      </w:r>
      <w:r w:rsidR="0076593D" w:rsidRPr="0076593D">
        <w:t xml:space="preserve"> times.</w:t>
      </w:r>
    </w:p>
    <w:p w14:paraId="77B02B56" w14:textId="7B0AF932" w:rsidR="003F6EEC" w:rsidRDefault="009C7262" w:rsidP="008507D0">
      <w:pPr>
        <w:pStyle w:val="NoSpacing"/>
      </w:pPr>
      <w:r>
        <w:tab/>
      </w:r>
      <w:r w:rsidR="003C74A6">
        <w:t>S</w:t>
      </w:r>
      <w:r w:rsidR="001D0C09">
        <w:t xml:space="preserve">ome good can emerge from </w:t>
      </w:r>
      <w:r w:rsidR="00381EA0">
        <w:t xml:space="preserve">this calamity. </w:t>
      </w:r>
      <w:r w:rsidR="0022511D">
        <w:t>Our</w:t>
      </w:r>
      <w:r w:rsidR="001D0C09">
        <w:t xml:space="preserve"> contribution</w:t>
      </w:r>
      <w:r w:rsidR="0022511D">
        <w:t xml:space="preserve"> </w:t>
      </w:r>
      <w:r w:rsidR="00381EA0">
        <w:t xml:space="preserve">is a </w:t>
      </w:r>
      <w:r w:rsidR="003F6EEC">
        <w:t xml:space="preserve">feasible </w:t>
      </w:r>
      <w:r w:rsidR="00381EA0">
        <w:t xml:space="preserve">measure to </w:t>
      </w:r>
      <w:r w:rsidR="00C11695">
        <w:t xml:space="preserve">mitigate </w:t>
      </w:r>
      <w:r w:rsidR="001D0C09">
        <w:t xml:space="preserve">against the </w:t>
      </w:r>
      <w:r w:rsidR="008C6F56">
        <w:t xml:space="preserve">negative </w:t>
      </w:r>
      <w:r w:rsidR="001D0C09">
        <w:t xml:space="preserve">effects </w:t>
      </w:r>
      <w:r w:rsidR="00381EA0">
        <w:t>of black swans arriving during major climate or public health crises</w:t>
      </w:r>
      <w:r w:rsidR="00F36391">
        <w:t xml:space="preserve">, </w:t>
      </w:r>
      <w:r w:rsidR="003F6EEC">
        <w:t xml:space="preserve">forcing </w:t>
      </w:r>
      <w:r w:rsidR="00B124FB">
        <w:t>isolation</w:t>
      </w:r>
      <w:r w:rsidR="003F6EEC">
        <w:t xml:space="preserve"> practices</w:t>
      </w:r>
      <w:r w:rsidR="00152B79">
        <w:t xml:space="preserve"> on most of us</w:t>
      </w:r>
      <w:r w:rsidR="00B124FB">
        <w:t xml:space="preserve">. </w:t>
      </w:r>
      <w:r w:rsidR="00B1425D">
        <w:t xml:space="preserve">However, we must </w:t>
      </w:r>
      <w:r w:rsidR="00CD2A58">
        <w:t xml:space="preserve">also </w:t>
      </w:r>
      <w:r w:rsidR="0076593D">
        <w:t>try to prevent</w:t>
      </w:r>
      <w:r w:rsidR="00057C52">
        <w:rPr>
          <w:rStyle w:val="EndnoteReference"/>
        </w:rPr>
        <w:endnoteReference w:id="10"/>
      </w:r>
      <w:r w:rsidR="0076593D">
        <w:t xml:space="preserve"> them and anticipate other possible repercussions.</w:t>
      </w:r>
      <w:r w:rsidR="00CD2A58">
        <w:t xml:space="preserve"> </w:t>
      </w:r>
    </w:p>
    <w:p w14:paraId="5DD89712" w14:textId="4CF15730" w:rsidR="0035427F" w:rsidRDefault="009C7262" w:rsidP="0035427F">
      <w:pPr>
        <w:pStyle w:val="NoSpacing"/>
      </w:pPr>
      <w:r>
        <w:tab/>
      </w:r>
      <w:r w:rsidR="0035427F">
        <w:t>In the meantime, it has been refreshing to see a world putting the li</w:t>
      </w:r>
      <w:r w:rsidR="00B51FCA">
        <w:t>ves</w:t>
      </w:r>
      <w:r w:rsidR="0035427F">
        <w:t xml:space="preserve"> of </w:t>
      </w:r>
      <w:r w:rsidR="00FA3FDE">
        <w:t>its</w:t>
      </w:r>
      <w:r w:rsidR="0035427F">
        <w:t xml:space="preserve"> citizenry first. </w:t>
      </w:r>
    </w:p>
    <w:p w14:paraId="3EA3D778" w14:textId="352D83E0" w:rsidR="008507D0" w:rsidRDefault="008507D0" w:rsidP="00410A00">
      <w:pPr>
        <w:pStyle w:val="NoSpacing"/>
        <w:rPr>
          <w:color w:val="C45911" w:themeColor="accent2" w:themeShade="BF"/>
        </w:rPr>
      </w:pPr>
    </w:p>
    <w:p w14:paraId="57B35317" w14:textId="49430BB1" w:rsidR="00384E22" w:rsidRDefault="00384E22" w:rsidP="00384E22">
      <w:pPr>
        <w:pStyle w:val="EndnoteText"/>
      </w:pPr>
      <w:r w:rsidRPr="00E52039">
        <w:rPr>
          <w:b/>
          <w:bCs/>
        </w:rPr>
        <w:t>Acknowledgments</w:t>
      </w:r>
      <w:r>
        <w:t xml:space="preserve">: </w:t>
      </w:r>
      <w:r w:rsidR="00030B41">
        <w:t>We are</w:t>
      </w:r>
      <w:r>
        <w:t xml:space="preserve"> grateful to </w:t>
      </w:r>
      <w:r w:rsidR="00033F1C">
        <w:t xml:space="preserve">Dev Jennings, </w:t>
      </w:r>
      <w:r>
        <w:t>Andy Hoffman</w:t>
      </w:r>
      <w:r w:rsidR="006F6457">
        <w:t xml:space="preserve">, </w:t>
      </w:r>
      <w:r>
        <w:t>Cristina Sepulveda</w:t>
      </w:r>
      <w:r w:rsidR="00291F0B">
        <w:t>,</w:t>
      </w:r>
      <w:r>
        <w:t xml:space="preserve"> Tony Perez</w:t>
      </w:r>
      <w:r w:rsidR="00291F0B">
        <w:t xml:space="preserve">, </w:t>
      </w:r>
      <w:r w:rsidR="006F6457">
        <w:t xml:space="preserve">Mike Pisani, </w:t>
      </w:r>
      <w:r w:rsidR="00291F0B">
        <w:t>and Lorraine Eden</w:t>
      </w:r>
      <w:r>
        <w:t xml:space="preserve"> for their helpful comments</w:t>
      </w:r>
      <w:r w:rsidR="00291F0B">
        <w:t xml:space="preserve"> on </w:t>
      </w:r>
      <w:r w:rsidR="00E458F4">
        <w:t>earlier</w:t>
      </w:r>
      <w:r w:rsidR="00291F0B">
        <w:t xml:space="preserve"> versions of this essay</w:t>
      </w:r>
      <w:r>
        <w:t>.</w:t>
      </w:r>
    </w:p>
    <w:p w14:paraId="2E29085C" w14:textId="50DD574C" w:rsidR="000F0BCA" w:rsidRDefault="000F0BCA" w:rsidP="00410A00">
      <w:pPr>
        <w:pStyle w:val="NoSpacing"/>
        <w:rPr>
          <w:color w:val="C45911" w:themeColor="accent2" w:themeShade="BF"/>
        </w:rPr>
      </w:pPr>
    </w:p>
    <w:p w14:paraId="566AE20A" w14:textId="7B6F64C9" w:rsidR="0001772A" w:rsidRPr="009C7262" w:rsidRDefault="0001772A" w:rsidP="00410A00">
      <w:pPr>
        <w:pStyle w:val="NoSpacing"/>
        <w:rPr>
          <w:b/>
          <w:bCs/>
        </w:rPr>
      </w:pPr>
      <w:r w:rsidRPr="009C7262">
        <w:rPr>
          <w:b/>
          <w:bCs/>
        </w:rPr>
        <w:t>Endnotes</w:t>
      </w:r>
    </w:p>
    <w:sectPr w:rsidR="0001772A" w:rsidRPr="009C7262">
      <w:endnotePr>
        <w:numFmt w:val="decimal"/>
      </w:endnotePr>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702FB" w16cex:dateUtc="2020-04-19T21: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ECB36" w14:textId="77777777" w:rsidR="00E753C1" w:rsidRDefault="00E753C1" w:rsidP="00F125BA">
      <w:pPr>
        <w:spacing w:after="0" w:line="240" w:lineRule="auto"/>
      </w:pPr>
      <w:r>
        <w:separator/>
      </w:r>
    </w:p>
  </w:endnote>
  <w:endnote w:type="continuationSeparator" w:id="0">
    <w:p w14:paraId="5C266953" w14:textId="77777777" w:rsidR="00E753C1" w:rsidRDefault="00E753C1" w:rsidP="00F125BA">
      <w:pPr>
        <w:spacing w:after="0" w:line="240" w:lineRule="auto"/>
      </w:pPr>
      <w:r>
        <w:continuationSeparator/>
      </w:r>
    </w:p>
  </w:endnote>
  <w:endnote w:id="1">
    <w:p w14:paraId="0C40B306" w14:textId="38EC6EA8" w:rsidR="00DC7EF4" w:rsidRDefault="00DC7EF4">
      <w:pPr>
        <w:pStyle w:val="EndnoteText"/>
      </w:pPr>
      <w:r>
        <w:rPr>
          <w:rStyle w:val="EndnoteReference"/>
        </w:rPr>
        <w:endnoteRef/>
      </w:r>
      <w:r>
        <w:t xml:space="preserve"> </w:t>
      </w:r>
      <w:hyperlink r:id="rId1" w:history="1">
        <w:r w:rsidRPr="00A815B9">
          <w:rPr>
            <w:rStyle w:val="Hyperlink"/>
          </w:rPr>
          <w:t>https://www.livescience.com/33316-top-10-deadliest-natural-disasters.html</w:t>
        </w:r>
      </w:hyperlink>
    </w:p>
  </w:endnote>
  <w:endnote w:id="2">
    <w:p w14:paraId="51361F12" w14:textId="6B66F221" w:rsidR="00DC7EF4" w:rsidRDefault="00DC7EF4">
      <w:pPr>
        <w:pStyle w:val="EndnoteText"/>
      </w:pPr>
      <w:r>
        <w:rPr>
          <w:rStyle w:val="EndnoteReference"/>
        </w:rPr>
        <w:endnoteRef/>
      </w:r>
      <w:r>
        <w:t xml:space="preserve"> </w:t>
      </w:r>
      <w:hyperlink r:id="rId2" w:history="1">
        <w:r>
          <w:rPr>
            <w:rStyle w:val="Hyperlink"/>
          </w:rPr>
          <w:t>https://journals.ametsoc.org/doi/pdf/10.1175/2010BAMS3092.1</w:t>
        </w:r>
      </w:hyperlink>
    </w:p>
  </w:endnote>
  <w:endnote w:id="3">
    <w:p w14:paraId="2B25D920" w14:textId="78F94B51" w:rsidR="007425DA" w:rsidRDefault="007425DA" w:rsidP="00C356B9">
      <w:pPr>
        <w:pStyle w:val="EndnoteText"/>
      </w:pPr>
      <w:r>
        <w:rPr>
          <w:rStyle w:val="EndnoteReference"/>
        </w:rPr>
        <w:endnoteRef/>
      </w:r>
      <w:r>
        <w:t xml:space="preserve"> </w:t>
      </w:r>
      <w:r w:rsidRPr="0033463F">
        <w:rPr>
          <w:rStyle w:val="Hyperlink"/>
        </w:rPr>
        <w:t>https://en.wikipedia.org/wiki/Black_swan_theory</w:t>
      </w:r>
    </w:p>
  </w:endnote>
  <w:endnote w:id="4">
    <w:p w14:paraId="7645945D" w14:textId="7E7E708C" w:rsidR="007425DA" w:rsidRDefault="007425DA">
      <w:pPr>
        <w:pStyle w:val="EndnoteText"/>
      </w:pPr>
      <w:r>
        <w:rPr>
          <w:rStyle w:val="EndnoteReference"/>
        </w:rPr>
        <w:endnoteRef/>
      </w:r>
      <w:r>
        <w:t xml:space="preserve"> </w:t>
      </w:r>
      <w:hyperlink r:id="rId3" w:history="1">
        <w:r>
          <w:rPr>
            <w:rStyle w:val="Hyperlink"/>
          </w:rPr>
          <w:t>https://corporatefinanceinstitute.com/resources/knowledge/valuation/real-options/</w:t>
        </w:r>
      </w:hyperlink>
      <w:r w:rsidR="00A814AA">
        <w:rPr>
          <w:rStyle w:val="Hyperlink"/>
        </w:rPr>
        <w:t>. Real options include the physical choice of expanding and switching – i.e., temporarily abandon</w:t>
      </w:r>
      <w:r w:rsidR="00091900">
        <w:rPr>
          <w:rStyle w:val="Hyperlink"/>
        </w:rPr>
        <w:t>ing</w:t>
      </w:r>
      <w:r w:rsidR="00A814AA">
        <w:rPr>
          <w:rStyle w:val="Hyperlink"/>
        </w:rPr>
        <w:t xml:space="preserve"> projects.</w:t>
      </w:r>
    </w:p>
  </w:endnote>
  <w:endnote w:id="5">
    <w:p w14:paraId="55A09440" w14:textId="743318D8" w:rsidR="007425DA" w:rsidRDefault="007425DA">
      <w:pPr>
        <w:pStyle w:val="EndnoteText"/>
      </w:pPr>
      <w:r>
        <w:rPr>
          <w:rStyle w:val="EndnoteReference"/>
        </w:rPr>
        <w:endnoteRef/>
      </w:r>
      <w:r>
        <w:t xml:space="preserve"> Exposure definition adapted from </w:t>
      </w:r>
      <w:hyperlink r:id="rId4" w:history="1">
        <w:r w:rsidRPr="00975758">
          <w:rPr>
            <w:rStyle w:val="Hyperlink"/>
          </w:rPr>
          <w:t>Lee, Oh, and Eden (2010, p.2</w:t>
        </w:r>
      </w:hyperlink>
      <w:r>
        <w:t xml:space="preserve">) </w:t>
      </w:r>
    </w:p>
  </w:endnote>
  <w:endnote w:id="6">
    <w:p w14:paraId="0E5AAB43" w14:textId="5432607C" w:rsidR="007425DA" w:rsidRDefault="007425DA">
      <w:pPr>
        <w:pStyle w:val="EndnoteText"/>
      </w:pPr>
      <w:r>
        <w:rPr>
          <w:rStyle w:val="EndnoteReference"/>
        </w:rPr>
        <w:endnoteRef/>
      </w:r>
      <w:r>
        <w:t xml:space="preserve"> </w:t>
      </w:r>
      <w:hyperlink r:id="rId5" w:history="1">
        <w:r>
          <w:rPr>
            <w:rStyle w:val="Hyperlink"/>
          </w:rPr>
          <w:t>https://www.ncbi.nlm.nih.gov/pmc/articles/PMC3291398/</w:t>
        </w:r>
      </w:hyperlink>
    </w:p>
  </w:endnote>
  <w:endnote w:id="7">
    <w:p w14:paraId="04DC3AA7" w14:textId="3586FAD9" w:rsidR="007425DA" w:rsidRDefault="007425DA">
      <w:pPr>
        <w:pStyle w:val="EndnoteText"/>
      </w:pPr>
      <w:r>
        <w:rPr>
          <w:rStyle w:val="EndnoteReference"/>
        </w:rPr>
        <w:endnoteRef/>
      </w:r>
      <w:r>
        <w:t xml:space="preserve"> </w:t>
      </w:r>
      <w:hyperlink r:id="rId6" w:history="1">
        <w:r w:rsidRPr="000367AA">
          <w:rPr>
            <w:rStyle w:val="Hyperlink"/>
          </w:rPr>
          <w:t>https://www.youtube.com/watch?v=IlRGU0TvPSA&amp;feature=youtu.be</w:t>
        </w:r>
      </w:hyperlink>
    </w:p>
  </w:endnote>
  <w:endnote w:id="8">
    <w:p w14:paraId="35E9C135" w14:textId="28125A14" w:rsidR="00255F3B" w:rsidRDefault="007425DA">
      <w:pPr>
        <w:pStyle w:val="EndnoteText"/>
      </w:pPr>
      <w:r>
        <w:rPr>
          <w:rStyle w:val="EndnoteReference"/>
        </w:rPr>
        <w:endnoteRef/>
      </w:r>
      <w:r>
        <w:t xml:space="preserve"> </w:t>
      </w:r>
      <w:hyperlink r:id="rId7" w:history="1">
        <w:r w:rsidR="00255F3B" w:rsidRPr="00A815B9">
          <w:rPr>
            <w:rStyle w:val="Hyperlink"/>
          </w:rPr>
          <w:t>https://www.insurancejournal.com/news/international/2020/04/13/564598.htm</w:t>
        </w:r>
      </w:hyperlink>
    </w:p>
  </w:endnote>
  <w:endnote w:id="9">
    <w:p w14:paraId="2164E685" w14:textId="41420E11" w:rsidR="00F5583C" w:rsidRDefault="00F5583C">
      <w:pPr>
        <w:pStyle w:val="EndnoteText"/>
      </w:pPr>
      <w:r>
        <w:rPr>
          <w:rStyle w:val="EndnoteReference"/>
        </w:rPr>
        <w:endnoteRef/>
      </w:r>
      <w:r>
        <w:t xml:space="preserve"> </w:t>
      </w:r>
      <w:hyperlink r:id="rId8" w:history="1">
        <w:r>
          <w:rPr>
            <w:rStyle w:val="Hyperlink"/>
          </w:rPr>
          <w:t>https://www.globenewswire.com/news-release/2019/05/15/1824372/0/en/Home-Standby-Gensets-Market-value-to-hit-5-billion-by-2025-Global-Market-Insights-Inc.html</w:t>
        </w:r>
      </w:hyperlink>
    </w:p>
  </w:endnote>
  <w:endnote w:id="10">
    <w:p w14:paraId="49CCCA38" w14:textId="577256FE" w:rsidR="00057C52" w:rsidRDefault="00057C52">
      <w:pPr>
        <w:pStyle w:val="EndnoteText"/>
      </w:pPr>
      <w:r>
        <w:rPr>
          <w:rStyle w:val="EndnoteReference"/>
        </w:rPr>
        <w:endnoteRef/>
      </w:r>
      <w:r>
        <w:t xml:space="preserve"> </w:t>
      </w:r>
      <w:hyperlink r:id="rId9" w:history="1">
        <w:r w:rsidR="00966654" w:rsidRPr="00A815B9">
          <w:rPr>
            <w:rStyle w:val="Hyperlink"/>
          </w:rPr>
          <w:t>https://www.ft.com/content/74e5f04a-7df1-11ea-82f6-150830b3b99a</w:t>
        </w:r>
      </w:hyperlink>
      <w:r w:rsidR="00D168E0">
        <w:t>;</w:t>
      </w:r>
    </w:p>
    <w:p w14:paraId="770DB8BE" w14:textId="717C452F" w:rsidR="00966654" w:rsidRDefault="00E753C1">
      <w:pPr>
        <w:pStyle w:val="EndnoteText"/>
      </w:pPr>
      <w:hyperlink r:id="rId10" w:history="1">
        <w:r w:rsidR="00D168E0">
          <w:rPr>
            <w:rStyle w:val="Hyperlink"/>
          </w:rPr>
          <w:t>https://www.researchgate.net/publication/10859579_Predictable_Surprises_The_Disasters_You_Should_Have_Seen_Coming</w:t>
        </w:r>
      </w:hyperlink>
    </w:p>
    <w:p w14:paraId="477718FB" w14:textId="165D4A42" w:rsidR="000750E1" w:rsidRDefault="000750E1">
      <w:pPr>
        <w:pStyle w:val="EndnoteText"/>
      </w:pPr>
    </w:p>
    <w:p w14:paraId="13F68F09" w14:textId="77777777" w:rsidR="00D93A81" w:rsidRDefault="00D93A81">
      <w:pPr>
        <w:pStyle w:val="EndnoteText"/>
      </w:pPr>
      <w:bookmarkStart w:id="0" w:name="_GoBack"/>
      <w:bookmarkEnd w:id="0"/>
    </w:p>
    <w:p w14:paraId="14E49525" w14:textId="77777777" w:rsidR="00983DD0" w:rsidRPr="007B52B3" w:rsidRDefault="00983DD0" w:rsidP="00983DD0">
      <w:pPr>
        <w:pStyle w:val="NoSpacing"/>
        <w:rPr>
          <w:b/>
          <w:bCs/>
        </w:rPr>
      </w:pPr>
      <w:r w:rsidRPr="007B52B3">
        <w:rPr>
          <w:b/>
          <w:bCs/>
        </w:rPr>
        <w:t>Bio</w:t>
      </w:r>
    </w:p>
    <w:p w14:paraId="203A78DF" w14:textId="77777777" w:rsidR="00983DD0" w:rsidRPr="00983DD0" w:rsidRDefault="00983DD0" w:rsidP="00983DD0">
      <w:pPr>
        <w:pStyle w:val="NoSpacing"/>
        <w:rPr>
          <w:sz w:val="20"/>
          <w:szCs w:val="20"/>
        </w:rPr>
      </w:pPr>
      <w:r w:rsidRPr="00983DD0">
        <w:rPr>
          <w:sz w:val="20"/>
          <w:szCs w:val="20"/>
        </w:rPr>
        <w:t xml:space="preserve">Luis is a graduate of Texas A&amp;M University (PhD), the University of Illinois at Urbana-Champaign (MS), and Monterrey Tech (BS). He is a Professor of Strategy, two-term Department Chair, and Senior Presidential Fellow at Central Michigan University. He served as a Faculty Affiliate of the Erb Institute at the University of Michigan, where he was a Visiting Scholar during his sabbatical, in Fall/2013. His research rests at the interplay of international strategy and sustainability and has been funded by the U.S. Department of Education. He is on the editorial board of </w:t>
      </w:r>
      <w:r w:rsidRPr="00983DD0">
        <w:rPr>
          <w:i/>
          <w:iCs/>
          <w:sz w:val="20"/>
          <w:szCs w:val="20"/>
        </w:rPr>
        <w:t xml:space="preserve">Journal of World Business </w:t>
      </w:r>
      <w:r w:rsidRPr="00983DD0">
        <w:rPr>
          <w:sz w:val="20"/>
          <w:szCs w:val="20"/>
        </w:rPr>
        <w:t xml:space="preserve">and recently earned the Management Development Program (MDP) certificate at Harvard’s Graduate School of Education (2018). </w:t>
      </w:r>
    </w:p>
    <w:p w14:paraId="7E3BC0F9" w14:textId="77777777" w:rsidR="00983DD0" w:rsidRDefault="00983DD0" w:rsidP="00983DD0">
      <w:pPr>
        <w:pStyle w:val="NoSpacing"/>
      </w:pPr>
    </w:p>
    <w:p w14:paraId="556718FA" w14:textId="77777777" w:rsidR="00983DD0" w:rsidRPr="0012664D" w:rsidRDefault="00983DD0" w:rsidP="00983DD0">
      <w:pPr>
        <w:pStyle w:val="NoSpacing"/>
        <w:rPr>
          <w:rFonts w:cstheme="minorHAnsi"/>
          <w:b/>
          <w:bCs/>
        </w:rPr>
      </w:pPr>
      <w:r w:rsidRPr="0012664D">
        <w:rPr>
          <w:rFonts w:cstheme="minorHAnsi"/>
          <w:b/>
          <w:bCs/>
        </w:rPr>
        <w:t>Bio</w:t>
      </w:r>
    </w:p>
    <w:p w14:paraId="6A1BD84D" w14:textId="58D530BC" w:rsidR="000750E1" w:rsidRDefault="00983DD0" w:rsidP="00983DD0">
      <w:r w:rsidRPr="00983DD0">
        <w:rPr>
          <w:rFonts w:cstheme="minorHAnsi"/>
          <w:sz w:val="20"/>
          <w:szCs w:val="20"/>
        </w:rPr>
        <w:t xml:space="preserve">Len Treviño is a graduate of Indiana University (PhD; MBA), and the University of Notre Dame (BBA). He is the SBA Communications Distinguished Professor of International Business and Director of International Business Programs at Florida Atlantic University.  He is the President of Iberoamerican Academy of Management and sits on the editorial board of </w:t>
      </w:r>
      <w:r w:rsidRPr="00983DD0">
        <w:rPr>
          <w:rFonts w:cstheme="minorHAnsi"/>
          <w:i/>
          <w:iCs/>
          <w:sz w:val="20"/>
          <w:szCs w:val="20"/>
        </w:rPr>
        <w:t xml:space="preserve">Journal of World Business. </w:t>
      </w:r>
      <w:r w:rsidRPr="00983DD0">
        <w:rPr>
          <w:rFonts w:eastAsia="Times New Roman" w:cstheme="minorHAnsi"/>
          <w:sz w:val="20"/>
          <w:szCs w:val="20"/>
        </w:rPr>
        <w:t xml:space="preserve">His research focuses on the antecedents and consequences of foreign direct investment and the internationalization strategies of multinational enterprises. </w:t>
      </w:r>
      <w:r w:rsidRPr="00983DD0">
        <w:rPr>
          <w:rFonts w:cstheme="minorHAnsi"/>
          <w:sz w:val="20"/>
          <w:szCs w:val="20"/>
        </w:rPr>
        <w:t xml:space="preserve">He has published in </w:t>
      </w:r>
      <w:r w:rsidRPr="00983DD0">
        <w:rPr>
          <w:rFonts w:cstheme="minorHAnsi"/>
          <w:i/>
          <w:iCs/>
          <w:sz w:val="20"/>
          <w:szCs w:val="20"/>
        </w:rPr>
        <w:t xml:space="preserve">Journal of International Business Studies, Journal of Management, Journal of World Business </w:t>
      </w:r>
      <w:r w:rsidRPr="00983DD0">
        <w:rPr>
          <w:rFonts w:cstheme="minorHAnsi"/>
          <w:sz w:val="20"/>
          <w:szCs w:val="20"/>
        </w:rPr>
        <w:t>and other top management and international business journals.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2A159" w14:textId="77777777" w:rsidR="00E753C1" w:rsidRDefault="00E753C1" w:rsidP="00F125BA">
      <w:pPr>
        <w:spacing w:after="0" w:line="240" w:lineRule="auto"/>
      </w:pPr>
      <w:r>
        <w:separator/>
      </w:r>
    </w:p>
  </w:footnote>
  <w:footnote w:type="continuationSeparator" w:id="0">
    <w:p w14:paraId="03518E4D" w14:textId="77777777" w:rsidR="00E753C1" w:rsidRDefault="00E753C1" w:rsidP="00F125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8DD"/>
    <w:multiLevelType w:val="hybridMultilevel"/>
    <w:tmpl w:val="0AB63A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8F01A1"/>
    <w:multiLevelType w:val="hybridMultilevel"/>
    <w:tmpl w:val="60BC88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49702A"/>
    <w:multiLevelType w:val="hybridMultilevel"/>
    <w:tmpl w:val="9CB6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9B0055"/>
    <w:multiLevelType w:val="hybridMultilevel"/>
    <w:tmpl w:val="14B267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EDE"/>
    <w:rsid w:val="000005B6"/>
    <w:rsid w:val="00001826"/>
    <w:rsid w:val="00003E85"/>
    <w:rsid w:val="0001301B"/>
    <w:rsid w:val="0001772A"/>
    <w:rsid w:val="00030B41"/>
    <w:rsid w:val="00033F1C"/>
    <w:rsid w:val="00057C52"/>
    <w:rsid w:val="000702A8"/>
    <w:rsid w:val="000718F7"/>
    <w:rsid w:val="000748E3"/>
    <w:rsid w:val="000750E1"/>
    <w:rsid w:val="00077C62"/>
    <w:rsid w:val="00083C9B"/>
    <w:rsid w:val="00091900"/>
    <w:rsid w:val="000A5902"/>
    <w:rsid w:val="000C2136"/>
    <w:rsid w:val="000C3A5D"/>
    <w:rsid w:val="000C4B32"/>
    <w:rsid w:val="000D0AA4"/>
    <w:rsid w:val="000E4E1D"/>
    <w:rsid w:val="000F0BCA"/>
    <w:rsid w:val="000F177A"/>
    <w:rsid w:val="000F1CF9"/>
    <w:rsid w:val="00133F91"/>
    <w:rsid w:val="00136DD1"/>
    <w:rsid w:val="00140303"/>
    <w:rsid w:val="001439CD"/>
    <w:rsid w:val="00152B79"/>
    <w:rsid w:val="00156031"/>
    <w:rsid w:val="00171994"/>
    <w:rsid w:val="00174370"/>
    <w:rsid w:val="00174F5E"/>
    <w:rsid w:val="00181F20"/>
    <w:rsid w:val="00184253"/>
    <w:rsid w:val="00191AA9"/>
    <w:rsid w:val="001A0454"/>
    <w:rsid w:val="001A500B"/>
    <w:rsid w:val="001B49CB"/>
    <w:rsid w:val="001C6ED9"/>
    <w:rsid w:val="001D0C09"/>
    <w:rsid w:val="001D2A59"/>
    <w:rsid w:val="001D634C"/>
    <w:rsid w:val="001E5473"/>
    <w:rsid w:val="001E5CE6"/>
    <w:rsid w:val="001F27E4"/>
    <w:rsid w:val="002062C8"/>
    <w:rsid w:val="00211629"/>
    <w:rsid w:val="0021462A"/>
    <w:rsid w:val="00215D1B"/>
    <w:rsid w:val="00223C59"/>
    <w:rsid w:val="0022511D"/>
    <w:rsid w:val="002334A0"/>
    <w:rsid w:val="00242D9B"/>
    <w:rsid w:val="00244592"/>
    <w:rsid w:val="002541B0"/>
    <w:rsid w:val="00255F3B"/>
    <w:rsid w:val="0027187D"/>
    <w:rsid w:val="00275336"/>
    <w:rsid w:val="00282A4D"/>
    <w:rsid w:val="00291098"/>
    <w:rsid w:val="00291F0B"/>
    <w:rsid w:val="002F29DB"/>
    <w:rsid w:val="002F511F"/>
    <w:rsid w:val="002F6683"/>
    <w:rsid w:val="0030537E"/>
    <w:rsid w:val="003134F3"/>
    <w:rsid w:val="00322A3B"/>
    <w:rsid w:val="003242D9"/>
    <w:rsid w:val="00330878"/>
    <w:rsid w:val="00334E46"/>
    <w:rsid w:val="00344DD0"/>
    <w:rsid w:val="00345E3F"/>
    <w:rsid w:val="0035427F"/>
    <w:rsid w:val="00374965"/>
    <w:rsid w:val="00381EA0"/>
    <w:rsid w:val="00381FAD"/>
    <w:rsid w:val="00384E22"/>
    <w:rsid w:val="00393FE4"/>
    <w:rsid w:val="00395C1E"/>
    <w:rsid w:val="00395C65"/>
    <w:rsid w:val="003A6A01"/>
    <w:rsid w:val="003A79E3"/>
    <w:rsid w:val="003C74A6"/>
    <w:rsid w:val="003D3D52"/>
    <w:rsid w:val="003F1EDE"/>
    <w:rsid w:val="003F6EEC"/>
    <w:rsid w:val="00406081"/>
    <w:rsid w:val="0040668C"/>
    <w:rsid w:val="00407911"/>
    <w:rsid w:val="00410A00"/>
    <w:rsid w:val="00411E1F"/>
    <w:rsid w:val="004122AB"/>
    <w:rsid w:val="00426A6A"/>
    <w:rsid w:val="00455BFD"/>
    <w:rsid w:val="004616C3"/>
    <w:rsid w:val="00463DC5"/>
    <w:rsid w:val="00465458"/>
    <w:rsid w:val="004762C4"/>
    <w:rsid w:val="00482947"/>
    <w:rsid w:val="004870D1"/>
    <w:rsid w:val="00492A3B"/>
    <w:rsid w:val="004A3446"/>
    <w:rsid w:val="004B3E3D"/>
    <w:rsid w:val="004C0BDA"/>
    <w:rsid w:val="004C4655"/>
    <w:rsid w:val="004C7AC8"/>
    <w:rsid w:val="004D0D34"/>
    <w:rsid w:val="004D2B8D"/>
    <w:rsid w:val="004D68C7"/>
    <w:rsid w:val="00502EE5"/>
    <w:rsid w:val="005049E3"/>
    <w:rsid w:val="00517D5F"/>
    <w:rsid w:val="00523974"/>
    <w:rsid w:val="00532CC7"/>
    <w:rsid w:val="00535711"/>
    <w:rsid w:val="00535D88"/>
    <w:rsid w:val="00537D31"/>
    <w:rsid w:val="00553511"/>
    <w:rsid w:val="0056374A"/>
    <w:rsid w:val="00571669"/>
    <w:rsid w:val="00582586"/>
    <w:rsid w:val="00583174"/>
    <w:rsid w:val="005928B6"/>
    <w:rsid w:val="00592AB2"/>
    <w:rsid w:val="005A0091"/>
    <w:rsid w:val="005A0E12"/>
    <w:rsid w:val="005A653A"/>
    <w:rsid w:val="005C35CB"/>
    <w:rsid w:val="005C68A6"/>
    <w:rsid w:val="005D37D3"/>
    <w:rsid w:val="005E311C"/>
    <w:rsid w:val="005E3209"/>
    <w:rsid w:val="005E5B05"/>
    <w:rsid w:val="00625146"/>
    <w:rsid w:val="00626CFB"/>
    <w:rsid w:val="00630483"/>
    <w:rsid w:val="0063516A"/>
    <w:rsid w:val="006352B5"/>
    <w:rsid w:val="00636B10"/>
    <w:rsid w:val="006473CB"/>
    <w:rsid w:val="006515D6"/>
    <w:rsid w:val="00652D31"/>
    <w:rsid w:val="00655F00"/>
    <w:rsid w:val="00671396"/>
    <w:rsid w:val="00696C1C"/>
    <w:rsid w:val="006A0018"/>
    <w:rsid w:val="006A035F"/>
    <w:rsid w:val="006A488C"/>
    <w:rsid w:val="006B4762"/>
    <w:rsid w:val="006C1BE3"/>
    <w:rsid w:val="006C2FDF"/>
    <w:rsid w:val="006E3EF4"/>
    <w:rsid w:val="006E7435"/>
    <w:rsid w:val="006F6457"/>
    <w:rsid w:val="00714280"/>
    <w:rsid w:val="007162A0"/>
    <w:rsid w:val="00734E91"/>
    <w:rsid w:val="007425DA"/>
    <w:rsid w:val="0074601C"/>
    <w:rsid w:val="00757ED6"/>
    <w:rsid w:val="0076593D"/>
    <w:rsid w:val="00765AF6"/>
    <w:rsid w:val="00771F53"/>
    <w:rsid w:val="007810D8"/>
    <w:rsid w:val="00790D4F"/>
    <w:rsid w:val="007A38FE"/>
    <w:rsid w:val="007B2AF8"/>
    <w:rsid w:val="007B52B3"/>
    <w:rsid w:val="007B7960"/>
    <w:rsid w:val="007C10D7"/>
    <w:rsid w:val="007C3A69"/>
    <w:rsid w:val="007D36E9"/>
    <w:rsid w:val="007E1D3F"/>
    <w:rsid w:val="007E6F43"/>
    <w:rsid w:val="007F100A"/>
    <w:rsid w:val="007F66FE"/>
    <w:rsid w:val="008153D4"/>
    <w:rsid w:val="00822DC0"/>
    <w:rsid w:val="008248CE"/>
    <w:rsid w:val="008252A3"/>
    <w:rsid w:val="008271BD"/>
    <w:rsid w:val="00843E3E"/>
    <w:rsid w:val="00844205"/>
    <w:rsid w:val="008507D0"/>
    <w:rsid w:val="00851606"/>
    <w:rsid w:val="008520A4"/>
    <w:rsid w:val="0086360F"/>
    <w:rsid w:val="00873E23"/>
    <w:rsid w:val="0087530D"/>
    <w:rsid w:val="0088398B"/>
    <w:rsid w:val="00890B4D"/>
    <w:rsid w:val="008B457B"/>
    <w:rsid w:val="008B5A19"/>
    <w:rsid w:val="008B5A5D"/>
    <w:rsid w:val="008B63E6"/>
    <w:rsid w:val="008C36C6"/>
    <w:rsid w:val="008C6F56"/>
    <w:rsid w:val="008D226F"/>
    <w:rsid w:val="008E6606"/>
    <w:rsid w:val="008F188A"/>
    <w:rsid w:val="008F505E"/>
    <w:rsid w:val="008F6918"/>
    <w:rsid w:val="00900C89"/>
    <w:rsid w:val="009140E3"/>
    <w:rsid w:val="00915BF4"/>
    <w:rsid w:val="0092259B"/>
    <w:rsid w:val="00927E2F"/>
    <w:rsid w:val="00952F24"/>
    <w:rsid w:val="00966654"/>
    <w:rsid w:val="00975758"/>
    <w:rsid w:val="00981920"/>
    <w:rsid w:val="00983DD0"/>
    <w:rsid w:val="009B446A"/>
    <w:rsid w:val="009B6777"/>
    <w:rsid w:val="009C7262"/>
    <w:rsid w:val="009D1D67"/>
    <w:rsid w:val="009E7889"/>
    <w:rsid w:val="009F6195"/>
    <w:rsid w:val="00A00BB0"/>
    <w:rsid w:val="00A26D72"/>
    <w:rsid w:val="00A33315"/>
    <w:rsid w:val="00A4380B"/>
    <w:rsid w:val="00A43CAB"/>
    <w:rsid w:val="00A575A6"/>
    <w:rsid w:val="00A62B1C"/>
    <w:rsid w:val="00A77152"/>
    <w:rsid w:val="00A814AA"/>
    <w:rsid w:val="00A835F4"/>
    <w:rsid w:val="00AA0760"/>
    <w:rsid w:val="00AA32BA"/>
    <w:rsid w:val="00AA5E22"/>
    <w:rsid w:val="00AB29D3"/>
    <w:rsid w:val="00AC01DC"/>
    <w:rsid w:val="00AD009D"/>
    <w:rsid w:val="00AD0166"/>
    <w:rsid w:val="00AD2189"/>
    <w:rsid w:val="00AF238E"/>
    <w:rsid w:val="00B0346C"/>
    <w:rsid w:val="00B124FB"/>
    <w:rsid w:val="00B134A2"/>
    <w:rsid w:val="00B1425D"/>
    <w:rsid w:val="00B320FB"/>
    <w:rsid w:val="00B37E07"/>
    <w:rsid w:val="00B51FCA"/>
    <w:rsid w:val="00B6373D"/>
    <w:rsid w:val="00B740A7"/>
    <w:rsid w:val="00B741AF"/>
    <w:rsid w:val="00B76832"/>
    <w:rsid w:val="00B84552"/>
    <w:rsid w:val="00B91A3A"/>
    <w:rsid w:val="00B93A1F"/>
    <w:rsid w:val="00BA6DE2"/>
    <w:rsid w:val="00BB4864"/>
    <w:rsid w:val="00BB7AA9"/>
    <w:rsid w:val="00BC3D74"/>
    <w:rsid w:val="00BE20A0"/>
    <w:rsid w:val="00BE633A"/>
    <w:rsid w:val="00BF3DBE"/>
    <w:rsid w:val="00C033E5"/>
    <w:rsid w:val="00C05318"/>
    <w:rsid w:val="00C11695"/>
    <w:rsid w:val="00C14FED"/>
    <w:rsid w:val="00C31058"/>
    <w:rsid w:val="00C356B9"/>
    <w:rsid w:val="00C46B1E"/>
    <w:rsid w:val="00C52E39"/>
    <w:rsid w:val="00C64CD1"/>
    <w:rsid w:val="00C73322"/>
    <w:rsid w:val="00CA2301"/>
    <w:rsid w:val="00CA51EF"/>
    <w:rsid w:val="00CB7ADA"/>
    <w:rsid w:val="00CD055D"/>
    <w:rsid w:val="00CD2A58"/>
    <w:rsid w:val="00CF2DE2"/>
    <w:rsid w:val="00CF3D94"/>
    <w:rsid w:val="00CF4F8A"/>
    <w:rsid w:val="00CF6E95"/>
    <w:rsid w:val="00D05ECF"/>
    <w:rsid w:val="00D079DB"/>
    <w:rsid w:val="00D12761"/>
    <w:rsid w:val="00D168E0"/>
    <w:rsid w:val="00D3251A"/>
    <w:rsid w:val="00D378C5"/>
    <w:rsid w:val="00D660F5"/>
    <w:rsid w:val="00D7598B"/>
    <w:rsid w:val="00D83979"/>
    <w:rsid w:val="00D839ED"/>
    <w:rsid w:val="00D83C16"/>
    <w:rsid w:val="00D909E7"/>
    <w:rsid w:val="00D93A81"/>
    <w:rsid w:val="00D9441E"/>
    <w:rsid w:val="00D94FB4"/>
    <w:rsid w:val="00DA071C"/>
    <w:rsid w:val="00DA4B78"/>
    <w:rsid w:val="00DB6704"/>
    <w:rsid w:val="00DB7884"/>
    <w:rsid w:val="00DC03B9"/>
    <w:rsid w:val="00DC7EF4"/>
    <w:rsid w:val="00DF22BD"/>
    <w:rsid w:val="00E022B7"/>
    <w:rsid w:val="00E0388E"/>
    <w:rsid w:val="00E0610F"/>
    <w:rsid w:val="00E10F36"/>
    <w:rsid w:val="00E374E6"/>
    <w:rsid w:val="00E458F4"/>
    <w:rsid w:val="00E549CB"/>
    <w:rsid w:val="00E753C1"/>
    <w:rsid w:val="00E84754"/>
    <w:rsid w:val="00E91997"/>
    <w:rsid w:val="00E93D38"/>
    <w:rsid w:val="00EA453A"/>
    <w:rsid w:val="00EB1E69"/>
    <w:rsid w:val="00EC4D09"/>
    <w:rsid w:val="00EC50DC"/>
    <w:rsid w:val="00EC6508"/>
    <w:rsid w:val="00ED103E"/>
    <w:rsid w:val="00EF1B66"/>
    <w:rsid w:val="00EF68BF"/>
    <w:rsid w:val="00F011A7"/>
    <w:rsid w:val="00F10B40"/>
    <w:rsid w:val="00F125BA"/>
    <w:rsid w:val="00F25738"/>
    <w:rsid w:val="00F32CAE"/>
    <w:rsid w:val="00F36391"/>
    <w:rsid w:val="00F37927"/>
    <w:rsid w:val="00F50356"/>
    <w:rsid w:val="00F5583C"/>
    <w:rsid w:val="00F6591C"/>
    <w:rsid w:val="00F70633"/>
    <w:rsid w:val="00F77DC6"/>
    <w:rsid w:val="00F8128B"/>
    <w:rsid w:val="00F90A98"/>
    <w:rsid w:val="00F93D8E"/>
    <w:rsid w:val="00FA0E87"/>
    <w:rsid w:val="00FA3FDE"/>
    <w:rsid w:val="00FB7E2F"/>
    <w:rsid w:val="00FC136A"/>
    <w:rsid w:val="00FC2AA9"/>
    <w:rsid w:val="00FD1295"/>
    <w:rsid w:val="00FD30BF"/>
    <w:rsid w:val="00FF2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F48E3"/>
  <w15:chartTrackingRefBased/>
  <w15:docId w15:val="{7CC3C37D-0142-46FB-9BF1-5B84D24F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EDE"/>
    <w:rPr>
      <w:rFonts w:ascii="Segoe UI" w:hAnsi="Segoe UI" w:cs="Segoe UI"/>
      <w:sz w:val="18"/>
      <w:szCs w:val="18"/>
    </w:rPr>
  </w:style>
  <w:style w:type="paragraph" w:styleId="NoSpacing">
    <w:name w:val="No Spacing"/>
    <w:uiPriority w:val="1"/>
    <w:qFormat/>
    <w:rsid w:val="00927E2F"/>
    <w:pPr>
      <w:spacing w:after="0" w:line="240" w:lineRule="auto"/>
    </w:pPr>
  </w:style>
  <w:style w:type="paragraph" w:styleId="ListParagraph">
    <w:name w:val="List Paragraph"/>
    <w:basedOn w:val="Normal"/>
    <w:uiPriority w:val="34"/>
    <w:qFormat/>
    <w:rsid w:val="00927E2F"/>
    <w:pPr>
      <w:ind w:left="720"/>
      <w:contextualSpacing/>
    </w:pPr>
  </w:style>
  <w:style w:type="paragraph" w:styleId="FootnoteText">
    <w:name w:val="footnote text"/>
    <w:basedOn w:val="Normal"/>
    <w:link w:val="FootnoteTextChar"/>
    <w:uiPriority w:val="99"/>
    <w:semiHidden/>
    <w:unhideWhenUsed/>
    <w:rsid w:val="00F125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25BA"/>
    <w:rPr>
      <w:sz w:val="20"/>
      <w:szCs w:val="20"/>
    </w:rPr>
  </w:style>
  <w:style w:type="character" w:styleId="FootnoteReference">
    <w:name w:val="footnote reference"/>
    <w:basedOn w:val="DefaultParagraphFont"/>
    <w:uiPriority w:val="99"/>
    <w:semiHidden/>
    <w:unhideWhenUsed/>
    <w:rsid w:val="00F125BA"/>
    <w:rPr>
      <w:vertAlign w:val="superscript"/>
    </w:rPr>
  </w:style>
  <w:style w:type="character" w:styleId="Hyperlink">
    <w:name w:val="Hyperlink"/>
    <w:basedOn w:val="DefaultParagraphFont"/>
    <w:uiPriority w:val="99"/>
    <w:unhideWhenUsed/>
    <w:rsid w:val="00C64CD1"/>
    <w:rPr>
      <w:color w:val="0563C1" w:themeColor="hyperlink"/>
      <w:u w:val="single"/>
    </w:rPr>
  </w:style>
  <w:style w:type="paragraph" w:styleId="EndnoteText">
    <w:name w:val="endnote text"/>
    <w:basedOn w:val="Normal"/>
    <w:link w:val="EndnoteTextChar"/>
    <w:uiPriority w:val="99"/>
    <w:unhideWhenUsed/>
    <w:rsid w:val="00C64CD1"/>
    <w:pPr>
      <w:spacing w:after="0" w:line="240" w:lineRule="auto"/>
    </w:pPr>
    <w:rPr>
      <w:sz w:val="20"/>
      <w:szCs w:val="20"/>
    </w:rPr>
  </w:style>
  <w:style w:type="character" w:customStyle="1" w:styleId="EndnoteTextChar">
    <w:name w:val="Endnote Text Char"/>
    <w:basedOn w:val="DefaultParagraphFont"/>
    <w:link w:val="EndnoteText"/>
    <w:uiPriority w:val="99"/>
    <w:rsid w:val="00C64CD1"/>
    <w:rPr>
      <w:sz w:val="20"/>
      <w:szCs w:val="20"/>
    </w:rPr>
  </w:style>
  <w:style w:type="character" w:styleId="EndnoteReference">
    <w:name w:val="endnote reference"/>
    <w:basedOn w:val="DefaultParagraphFont"/>
    <w:uiPriority w:val="99"/>
    <w:semiHidden/>
    <w:unhideWhenUsed/>
    <w:rsid w:val="00C64CD1"/>
    <w:rPr>
      <w:vertAlign w:val="superscript"/>
    </w:rPr>
  </w:style>
  <w:style w:type="table" w:styleId="TableGrid">
    <w:name w:val="Table Grid"/>
    <w:basedOn w:val="TableNormal"/>
    <w:uiPriority w:val="39"/>
    <w:rsid w:val="00F1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1EA0"/>
    <w:rPr>
      <w:sz w:val="16"/>
      <w:szCs w:val="16"/>
    </w:rPr>
  </w:style>
  <w:style w:type="paragraph" w:styleId="CommentText">
    <w:name w:val="annotation text"/>
    <w:basedOn w:val="Normal"/>
    <w:link w:val="CommentTextChar"/>
    <w:uiPriority w:val="99"/>
    <w:semiHidden/>
    <w:unhideWhenUsed/>
    <w:rsid w:val="00381EA0"/>
    <w:pPr>
      <w:spacing w:line="240" w:lineRule="auto"/>
    </w:pPr>
    <w:rPr>
      <w:sz w:val="20"/>
      <w:szCs w:val="20"/>
    </w:rPr>
  </w:style>
  <w:style w:type="character" w:customStyle="1" w:styleId="CommentTextChar">
    <w:name w:val="Comment Text Char"/>
    <w:basedOn w:val="DefaultParagraphFont"/>
    <w:link w:val="CommentText"/>
    <w:uiPriority w:val="99"/>
    <w:semiHidden/>
    <w:rsid w:val="00381EA0"/>
    <w:rPr>
      <w:sz w:val="20"/>
      <w:szCs w:val="20"/>
    </w:rPr>
  </w:style>
  <w:style w:type="character" w:styleId="FollowedHyperlink">
    <w:name w:val="FollowedHyperlink"/>
    <w:basedOn w:val="DefaultParagraphFont"/>
    <w:uiPriority w:val="99"/>
    <w:semiHidden/>
    <w:unhideWhenUsed/>
    <w:rsid w:val="00523974"/>
    <w:rPr>
      <w:color w:val="954F72" w:themeColor="followedHyperlink"/>
      <w:u w:val="single"/>
    </w:rPr>
  </w:style>
  <w:style w:type="paragraph" w:styleId="Header">
    <w:name w:val="header"/>
    <w:basedOn w:val="Normal"/>
    <w:link w:val="HeaderChar"/>
    <w:uiPriority w:val="99"/>
    <w:unhideWhenUsed/>
    <w:rsid w:val="00330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878"/>
  </w:style>
  <w:style w:type="paragraph" w:styleId="Footer">
    <w:name w:val="footer"/>
    <w:basedOn w:val="Normal"/>
    <w:link w:val="FooterChar"/>
    <w:uiPriority w:val="99"/>
    <w:unhideWhenUsed/>
    <w:rsid w:val="00330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878"/>
  </w:style>
  <w:style w:type="character" w:customStyle="1" w:styleId="UnresolvedMention1">
    <w:name w:val="Unresolved Mention1"/>
    <w:basedOn w:val="DefaultParagraphFont"/>
    <w:uiPriority w:val="99"/>
    <w:semiHidden/>
    <w:unhideWhenUsed/>
    <w:rsid w:val="0096665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C4B32"/>
    <w:rPr>
      <w:b/>
      <w:bCs/>
    </w:rPr>
  </w:style>
  <w:style w:type="character" w:customStyle="1" w:styleId="CommentSubjectChar">
    <w:name w:val="Comment Subject Char"/>
    <w:basedOn w:val="CommentTextChar"/>
    <w:link w:val="CommentSubject"/>
    <w:uiPriority w:val="99"/>
    <w:semiHidden/>
    <w:rsid w:val="000C4B32"/>
    <w:rPr>
      <w:b/>
      <w:bCs/>
      <w:sz w:val="20"/>
      <w:szCs w:val="20"/>
    </w:rPr>
  </w:style>
  <w:style w:type="character" w:styleId="UnresolvedMention">
    <w:name w:val="Unresolved Mention"/>
    <w:basedOn w:val="DefaultParagraphFont"/>
    <w:uiPriority w:val="99"/>
    <w:semiHidden/>
    <w:unhideWhenUsed/>
    <w:rsid w:val="00DC7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e.1keydata.com/state-population-density.php"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aeroweb.com/Top-100-US-Airports.html"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globenewswire.com/news-release/2019/05/15/1824372/0/en/Home-Standby-Gensets-Market-value-to-hit-5-billion-by-2025-Global-Market-Insights-Inc.html" TargetMode="External"/><Relationship Id="rId3" Type="http://schemas.openxmlformats.org/officeDocument/2006/relationships/hyperlink" Target="https://corporatefinanceinstitute.com/resources/knowledge/valuation/real-options/" TargetMode="External"/><Relationship Id="rId7" Type="http://schemas.openxmlformats.org/officeDocument/2006/relationships/hyperlink" Target="https://www.insurancejournal.com/news/international/2020/04/13/564598.htm" TargetMode="External"/><Relationship Id="rId2" Type="http://schemas.openxmlformats.org/officeDocument/2006/relationships/hyperlink" Target="https://journals.ametsoc.org/doi/pdf/10.1175/2010BAMS3092.1" TargetMode="External"/><Relationship Id="rId1" Type="http://schemas.openxmlformats.org/officeDocument/2006/relationships/hyperlink" Target="https://www.livescience.com/33316-top-10-deadliest-natural-disasters.html" TargetMode="External"/><Relationship Id="rId6" Type="http://schemas.openxmlformats.org/officeDocument/2006/relationships/hyperlink" Target="https://www.youtube.com/watch?v=IlRGU0TvPSA&amp;feature=youtu.be" TargetMode="External"/><Relationship Id="rId5" Type="http://schemas.openxmlformats.org/officeDocument/2006/relationships/hyperlink" Target="https://www.ncbi.nlm.nih.gov/pmc/articles/PMC3291398/" TargetMode="External"/><Relationship Id="rId10" Type="http://schemas.openxmlformats.org/officeDocument/2006/relationships/hyperlink" Target="https://www.researchgate.net/publication/10859579_Predictable_Surprises_The_Disasters_You_Should_Have_Seen_Coming" TargetMode="External"/><Relationship Id="rId4" Type="http://schemas.openxmlformats.org/officeDocument/2006/relationships/hyperlink" Target="https://link.springer.com/article/10.1007/s11575-010-0057-9" TargetMode="External"/><Relationship Id="rId9" Type="http://schemas.openxmlformats.org/officeDocument/2006/relationships/hyperlink" Target="https://www.ft.com/content/74e5f04a-7df1-11ea-82f6-150830b3b9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D7934-9AD3-4476-8870-FBBEAEE29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PEREZ-BATRES</dc:creator>
  <cp:keywords/>
  <dc:description/>
  <cp:lastModifiedBy>Luis Antonio PEREZ-BATRES</cp:lastModifiedBy>
  <cp:revision>3</cp:revision>
  <cp:lastPrinted>2020-04-16T20:06:00Z</cp:lastPrinted>
  <dcterms:created xsi:type="dcterms:W3CDTF">2020-04-19T22:02:00Z</dcterms:created>
  <dcterms:modified xsi:type="dcterms:W3CDTF">2020-04-20T00:27:00Z</dcterms:modified>
</cp:coreProperties>
</file>